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6C" w:rsidRPr="00C547F9" w:rsidRDefault="00CA106C" w:rsidP="00CA106C">
      <w:pPr>
        <w:jc w:val="center"/>
      </w:pPr>
      <w:r w:rsidRPr="00961C7D">
        <w:rPr>
          <w:noProof/>
        </w:rPr>
        <w:drawing>
          <wp:inline distT="0" distB="0" distL="0" distR="0" wp14:anchorId="22762628" wp14:editId="29A29A02">
            <wp:extent cx="361950" cy="51435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6C" w:rsidRDefault="00CA106C" w:rsidP="00CA106C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CA106C" w:rsidRPr="00C547F9" w:rsidRDefault="00CA106C" w:rsidP="00CA106C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CA106C" w:rsidRDefault="00CA106C" w:rsidP="00CA106C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315</w:t>
      </w:r>
      <w:r w:rsidRPr="00C547F9">
        <w:rPr>
          <w:sz w:val="22"/>
        </w:rPr>
        <w:t xml:space="preserve"> тел. </w:t>
      </w:r>
      <w:r>
        <w:rPr>
          <w:sz w:val="22"/>
        </w:rPr>
        <w:t>9-21-69, 9-26-70</w:t>
      </w:r>
    </w:p>
    <w:p w:rsidR="00CA106C" w:rsidRDefault="00CA106C" w:rsidP="00CA106C">
      <w:pPr>
        <w:jc w:val="center"/>
        <w:rPr>
          <w:sz w:val="22"/>
        </w:rPr>
      </w:pPr>
    </w:p>
    <w:p w:rsidR="00CA106C" w:rsidRDefault="00CA106C" w:rsidP="00CA106C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</w:p>
    <w:p w:rsidR="00CA106C" w:rsidRPr="00CA106C" w:rsidRDefault="00CA106C" w:rsidP="00CA106C">
      <w:pPr>
        <w:jc w:val="center"/>
        <w:rPr>
          <w:b/>
          <w:bCs/>
        </w:rPr>
      </w:pPr>
      <w:r w:rsidRPr="00CA106C">
        <w:rPr>
          <w:b/>
        </w:rPr>
        <w:t xml:space="preserve">по результатам экспертизы проекта </w:t>
      </w:r>
      <w:r w:rsidRPr="00CA106C">
        <w:rPr>
          <w:b/>
          <w:bCs/>
        </w:rPr>
        <w:t xml:space="preserve">постановления администрации </w:t>
      </w:r>
    </w:p>
    <w:p w:rsidR="00CA106C" w:rsidRPr="00CA106C" w:rsidRDefault="00CA106C" w:rsidP="00F57E6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A106C">
        <w:rPr>
          <w:rFonts w:ascii="Times New Roman" w:hAnsi="Times New Roman"/>
          <w:bCs/>
          <w:sz w:val="24"/>
          <w:szCs w:val="24"/>
        </w:rPr>
        <w:t xml:space="preserve">муниципального образования Кандалакшский район </w:t>
      </w:r>
      <w:r w:rsidRPr="00CA106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CA106C">
        <w:rPr>
          <w:rFonts w:ascii="Times New Roman" w:hAnsi="Times New Roman"/>
          <w:sz w:val="24"/>
          <w:szCs w:val="24"/>
          <w:lang w:eastAsia="ru-RU"/>
        </w:rPr>
        <w:t>«Социальная поддержка граждан в муниципальном образовании Кандалакшский район»</w:t>
      </w:r>
    </w:p>
    <w:p w:rsidR="00CA106C" w:rsidRPr="00CA106C" w:rsidRDefault="00CA106C" w:rsidP="00CA106C">
      <w:pPr>
        <w:jc w:val="center"/>
        <w:rPr>
          <w:b/>
        </w:rPr>
      </w:pPr>
    </w:p>
    <w:p w:rsidR="00CA106C" w:rsidRPr="00F85FD1" w:rsidRDefault="00CA106C" w:rsidP="00CA106C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 xml:space="preserve"> </w:t>
      </w:r>
      <w:r w:rsidRPr="00F85FD1">
        <w:rPr>
          <w:b/>
        </w:rPr>
        <w:t>№ 1</w:t>
      </w:r>
      <w:r>
        <w:rPr>
          <w:b/>
        </w:rPr>
        <w:t>8</w:t>
      </w:r>
      <w:r w:rsidRPr="00F85FD1">
        <w:rPr>
          <w:b/>
        </w:rPr>
        <w:t xml:space="preserve">                                                                                                      от 13 ноября 2020 года</w:t>
      </w:r>
    </w:p>
    <w:p w:rsidR="00CA106C" w:rsidRDefault="00CA106C" w:rsidP="00CA106C">
      <w:pPr>
        <w:jc w:val="center"/>
        <w:rPr>
          <w:b/>
        </w:rPr>
      </w:pPr>
    </w:p>
    <w:p w:rsidR="00CA106C" w:rsidRPr="004E3563" w:rsidRDefault="00CA106C" w:rsidP="00CA106C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</w:p>
    <w:p w:rsidR="009C65C5" w:rsidRDefault="00CA106C" w:rsidP="00A41663">
      <w:pPr>
        <w:pStyle w:val="a3"/>
        <w:ind w:left="0" w:firstLine="709"/>
        <w:jc w:val="both"/>
      </w:pPr>
      <w:r w:rsidRPr="00A41663">
        <w:rPr>
          <w:color w:val="000000"/>
        </w:rPr>
        <w:t>Заключение подготовлено на основании</w:t>
      </w:r>
      <w:r>
        <w:rPr>
          <w:b/>
          <w:color w:val="000000"/>
        </w:rPr>
        <w:t xml:space="preserve"> </w:t>
      </w:r>
      <w:r w:rsidR="009C65C5" w:rsidRPr="000F68A6">
        <w:t>пункт</w:t>
      </w:r>
      <w:r w:rsidR="00A41663">
        <w:t>а</w:t>
      </w:r>
      <w:r w:rsidR="009C65C5" w:rsidRPr="000F68A6"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 26.10.2011 № 445 (далее – КСО)</w:t>
      </w:r>
      <w:r w:rsidRPr="00CA106C">
        <w:t xml:space="preserve"> </w:t>
      </w:r>
      <w:r>
        <w:t>и в соответствии с:</w:t>
      </w:r>
    </w:p>
    <w:p w:rsidR="009C65C5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0F68A6">
        <w:t xml:space="preserve"> Методик</w:t>
      </w:r>
      <w:r w:rsidR="00CA106C">
        <w:t>ой</w:t>
      </w:r>
      <w:r w:rsidRPr="000F68A6"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м.о. Кандалакшский </w:t>
      </w:r>
      <w:bookmarkStart w:id="0" w:name="_GoBack"/>
      <w:bookmarkEnd w:id="0"/>
      <w:r w:rsidRPr="000F68A6">
        <w:t>район от 09.06.2018 № 01-11/9;</w:t>
      </w:r>
    </w:p>
    <w:p w:rsidR="009C65C5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0F68A6">
        <w:t>приказ</w:t>
      </w:r>
      <w:r w:rsidR="00CA106C">
        <w:t>ом</w:t>
      </w:r>
      <w:r w:rsidRPr="000F68A6">
        <w:t xml:space="preserve"> Председателя </w:t>
      </w:r>
      <w:r>
        <w:t>Контрольно-счетного органа от 29.10.2020 № 01-09/26</w:t>
      </w:r>
      <w:r w:rsidRPr="000F68A6">
        <w:t>;</w:t>
      </w:r>
    </w:p>
    <w:p w:rsidR="009C65C5" w:rsidRDefault="00CA106C" w:rsidP="009C65C5">
      <w:pPr>
        <w:pStyle w:val="a3"/>
        <w:numPr>
          <w:ilvl w:val="0"/>
          <w:numId w:val="11"/>
        </w:numPr>
        <w:ind w:left="0" w:firstLine="360"/>
        <w:jc w:val="both"/>
      </w:pPr>
      <w:r>
        <w:t xml:space="preserve">пунктом </w:t>
      </w:r>
      <w:r w:rsidR="009C65C5" w:rsidRPr="000F68A6">
        <w:t xml:space="preserve">3.1. Раздела </w:t>
      </w:r>
      <w:r w:rsidR="009C65C5" w:rsidRPr="000F68A6">
        <w:rPr>
          <w:lang w:val="en-US"/>
        </w:rPr>
        <w:t>I</w:t>
      </w:r>
      <w:r w:rsidR="009C65C5" w:rsidRPr="000F68A6">
        <w:t xml:space="preserve"> плана работы, утвержденного распоряжением председателя от 30.12.2019 № 01-10/14.</w:t>
      </w:r>
    </w:p>
    <w:p w:rsidR="00CA106C" w:rsidRPr="000F68A6" w:rsidRDefault="00CA106C" w:rsidP="00CA106C">
      <w:pPr>
        <w:pStyle w:val="a3"/>
        <w:ind w:left="360"/>
        <w:jc w:val="both"/>
      </w:pPr>
    </w:p>
    <w:p w:rsidR="00F64AAC" w:rsidRPr="00E13294" w:rsidRDefault="009F5C81" w:rsidP="00F64AAC">
      <w:pPr>
        <w:tabs>
          <w:tab w:val="left" w:pos="709"/>
        </w:tabs>
        <w:ind w:firstLine="709"/>
        <w:jc w:val="both"/>
      </w:pPr>
      <w:r w:rsidRPr="00484EA0">
        <w:rPr>
          <w:b/>
        </w:rPr>
        <w:t xml:space="preserve">Цель </w:t>
      </w:r>
      <w:r w:rsidRPr="00E13294">
        <w:rPr>
          <w:b/>
        </w:rPr>
        <w:t xml:space="preserve">экспертизы: </w:t>
      </w:r>
      <w:r w:rsidR="00F64AAC" w:rsidRPr="00E13294">
        <w:t>определение соответствия положений муниципальной программы действующим нормативным правовым актам Российской Федерации, Мурманской области и муниципальным правовым актам, а также оценка соответствия поставленных в программе целей и задач Программы показателям прогноза социально-экономического развития муниципального образования Кандалакшский  район,</w:t>
      </w:r>
      <w:r w:rsidR="00F64AAC" w:rsidRPr="00E13294">
        <w:rPr>
          <w:bCs/>
        </w:rPr>
        <w:t xml:space="preserve">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2A3483" w:rsidRPr="007374BA" w:rsidRDefault="0052768B" w:rsidP="00CA106C">
      <w:pPr>
        <w:ind w:firstLine="708"/>
        <w:jc w:val="both"/>
        <w:rPr>
          <w:color w:val="FF0000"/>
        </w:rPr>
      </w:pPr>
      <w:r w:rsidRPr="0052768B">
        <w:rPr>
          <w:b/>
        </w:rPr>
        <w:t xml:space="preserve">Предмет экспертизы: </w:t>
      </w:r>
      <w:r w:rsidRPr="0052768B">
        <w:t xml:space="preserve">проект </w:t>
      </w:r>
      <w:r w:rsidR="00CA106C" w:rsidRPr="00CA106C">
        <w:rPr>
          <w:bCs/>
        </w:rPr>
        <w:t>постановления администрации муниципального образования Кандалакшский район</w:t>
      </w:r>
      <w:r w:rsidR="00CA106C" w:rsidRPr="00CA106C">
        <w:rPr>
          <w:b/>
          <w:bCs/>
        </w:rPr>
        <w:t xml:space="preserve"> </w:t>
      </w:r>
      <w:r w:rsidRPr="0052768B">
        <w:t>«Об утвер</w:t>
      </w:r>
      <w:r w:rsidR="005B2551">
        <w:t>ждении муниципальной программы «Социальная поддержка граждан в муниципальном образовании Кандалакшский район»</w:t>
      </w:r>
      <w:r w:rsidR="007374BA">
        <w:t xml:space="preserve"> (далее – проект Программы).</w:t>
      </w:r>
    </w:p>
    <w:p w:rsidR="00CA106C" w:rsidRDefault="00CA106C" w:rsidP="00757BAF">
      <w:pPr>
        <w:ind w:firstLine="709"/>
        <w:jc w:val="both"/>
      </w:pPr>
    </w:p>
    <w:p w:rsidR="00757BAF" w:rsidRDefault="0052768B" w:rsidP="00757BAF">
      <w:pPr>
        <w:ind w:firstLine="709"/>
        <w:jc w:val="both"/>
      </w:pPr>
      <w:r w:rsidRPr="0052768B">
        <w:t xml:space="preserve">Правовую основу экспертизы проекта Программы составляют следующие правовые акты: </w:t>
      </w:r>
    </w:p>
    <w:p w:rsidR="002B73D9" w:rsidRPr="00E13294" w:rsidRDefault="002B73D9" w:rsidP="00EF4CB3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bCs/>
          <w:lang w:eastAsia="en-US"/>
        </w:rPr>
      </w:pPr>
      <w:r w:rsidRPr="00E13294">
        <w:rPr>
          <w:rFonts w:eastAsiaTheme="minorHAnsi"/>
          <w:bCs/>
          <w:lang w:eastAsia="en-US"/>
        </w:rPr>
        <w:t>Указ Президента РФ от 07.05.2018 № 204</w:t>
      </w:r>
      <w:r w:rsidR="00367233" w:rsidRPr="00E13294">
        <w:rPr>
          <w:rFonts w:eastAsiaTheme="minorHAnsi"/>
          <w:bCs/>
          <w:lang w:eastAsia="en-US"/>
        </w:rPr>
        <w:t xml:space="preserve"> </w:t>
      </w:r>
      <w:r w:rsidRPr="00E13294">
        <w:rPr>
          <w:rFonts w:eastAsiaTheme="minorHAnsi"/>
          <w:bCs/>
          <w:lang w:eastAsia="en-US"/>
        </w:rPr>
        <w:t>«О национальных целях и стратегических задачах развития Российской Федерации на период до 2024 года»;</w:t>
      </w:r>
    </w:p>
    <w:p w:rsidR="00757BAF" w:rsidRPr="00EF4CB3" w:rsidRDefault="0052768B" w:rsidP="00EF4CB3">
      <w:pPr>
        <w:pStyle w:val="a3"/>
        <w:numPr>
          <w:ilvl w:val="0"/>
          <w:numId w:val="2"/>
        </w:numPr>
        <w:ind w:left="0" w:firstLine="284"/>
        <w:jc w:val="both"/>
      </w:pPr>
      <w:r w:rsidRPr="00EF4CB3">
        <w:rPr>
          <w:rFonts w:eastAsiaTheme="minorHAnsi"/>
          <w:bCs/>
          <w:lang w:eastAsia="en-US"/>
        </w:rPr>
        <w:t>Бюджетный кодекс Российской Федерации;</w:t>
      </w:r>
      <w:r w:rsidR="007476EB" w:rsidRPr="00EF4CB3">
        <w:rPr>
          <w:rFonts w:eastAsiaTheme="minorHAnsi"/>
          <w:bCs/>
          <w:lang w:eastAsia="en-US"/>
        </w:rPr>
        <w:t xml:space="preserve"> </w:t>
      </w:r>
    </w:p>
    <w:p w:rsidR="00F31AED" w:rsidRDefault="00367233" w:rsidP="006E0BC7">
      <w:pPr>
        <w:pStyle w:val="a3"/>
        <w:numPr>
          <w:ilvl w:val="0"/>
          <w:numId w:val="2"/>
        </w:numPr>
        <w:ind w:left="0" w:firstLine="284"/>
        <w:jc w:val="both"/>
      </w:pPr>
      <w:r w:rsidRPr="00EF4CB3">
        <w:rPr>
          <w:rFonts w:eastAsiaTheme="minorHAnsi"/>
          <w:bCs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31AED" w:rsidRDefault="00367233" w:rsidP="00716BEA">
      <w:pPr>
        <w:pStyle w:val="a3"/>
        <w:numPr>
          <w:ilvl w:val="0"/>
          <w:numId w:val="2"/>
        </w:numPr>
        <w:ind w:left="0" w:firstLine="284"/>
        <w:jc w:val="both"/>
      </w:pPr>
      <w:r w:rsidRPr="00F31AED">
        <w:rPr>
          <w:rFonts w:eastAsiaTheme="minorHAnsi"/>
          <w:bCs/>
          <w:lang w:eastAsia="en-US"/>
        </w:rPr>
        <w:t>постановление Прав</w:t>
      </w:r>
      <w:r w:rsidR="002B73D9" w:rsidRPr="00F31AED">
        <w:rPr>
          <w:rFonts w:eastAsiaTheme="minorHAnsi"/>
          <w:bCs/>
          <w:lang w:eastAsia="en-US"/>
        </w:rPr>
        <w:t>ительства РФ от 15.04.2014 № 296</w:t>
      </w:r>
      <w:r w:rsidRPr="00F31AED">
        <w:rPr>
          <w:rFonts w:eastAsiaTheme="minorHAnsi"/>
          <w:bCs/>
          <w:lang w:eastAsia="en-US"/>
        </w:rPr>
        <w:t xml:space="preserve"> «Об утверждении государственной программы Российской Федерации </w:t>
      </w:r>
      <w:r w:rsidR="002B73D9" w:rsidRPr="00F31AED">
        <w:rPr>
          <w:rFonts w:eastAsiaTheme="minorHAnsi"/>
          <w:bCs/>
          <w:lang w:eastAsia="en-US"/>
        </w:rPr>
        <w:t>«Социальная поддержка граждан»;</w:t>
      </w:r>
    </w:p>
    <w:p w:rsidR="00F31AED" w:rsidRPr="00EF4CB3" w:rsidRDefault="00F31AED" w:rsidP="00F31AED">
      <w:pPr>
        <w:pStyle w:val="a3"/>
        <w:numPr>
          <w:ilvl w:val="0"/>
          <w:numId w:val="2"/>
        </w:numPr>
        <w:ind w:left="0" w:firstLine="284"/>
        <w:jc w:val="both"/>
      </w:pPr>
      <w:r w:rsidRPr="00F31AED">
        <w:rPr>
          <w:rFonts w:eastAsiaTheme="minorHAnsi"/>
          <w:lang w:eastAsia="en-US"/>
        </w:rPr>
        <w:t xml:space="preserve">постановление Правительства Мурманской области от 25.12.2013 № 768-ПП/20 «О Стратегии социально-экономического развития Мурманской области до 2020 года и на период до 2025 года»;  </w:t>
      </w:r>
    </w:p>
    <w:p w:rsidR="00F31AED" w:rsidRPr="009C65C5" w:rsidRDefault="0024183E" w:rsidP="00F31AED">
      <w:pPr>
        <w:pStyle w:val="a3"/>
        <w:numPr>
          <w:ilvl w:val="0"/>
          <w:numId w:val="2"/>
        </w:numPr>
        <w:ind w:left="0" w:firstLine="284"/>
        <w:jc w:val="both"/>
      </w:pPr>
      <w:r w:rsidRPr="009C65C5">
        <w:rPr>
          <w:rFonts w:eastAsiaTheme="minorHAnsi"/>
          <w:bCs/>
          <w:lang w:eastAsia="en-US"/>
        </w:rPr>
        <w:lastRenderedPageBreak/>
        <w:t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A10F5D" w:rsidRPr="009C65C5">
        <w:rPr>
          <w:rFonts w:eastAsiaTheme="minorHAnsi"/>
          <w:bCs/>
          <w:lang w:eastAsia="en-US"/>
        </w:rPr>
        <w:t xml:space="preserve"> (далее – Мето</w:t>
      </w:r>
      <w:r w:rsidR="008D152D" w:rsidRPr="009C65C5">
        <w:rPr>
          <w:rFonts w:eastAsiaTheme="minorHAnsi"/>
          <w:bCs/>
          <w:lang w:eastAsia="en-US"/>
        </w:rPr>
        <w:t>дические рекомендации Минфина России</w:t>
      </w:r>
      <w:r w:rsidR="0010027A">
        <w:rPr>
          <w:rFonts w:eastAsiaTheme="minorHAnsi"/>
          <w:bCs/>
          <w:lang w:eastAsia="en-US"/>
        </w:rPr>
        <w:t xml:space="preserve"> от 30.09.2014 № 09-05-05/48843</w:t>
      </w:r>
      <w:r w:rsidR="00A10F5D" w:rsidRPr="009C65C5">
        <w:rPr>
          <w:rFonts w:eastAsiaTheme="minorHAnsi"/>
          <w:bCs/>
          <w:lang w:eastAsia="en-US"/>
        </w:rPr>
        <w:t>)</w:t>
      </w:r>
      <w:r w:rsidR="0052768B" w:rsidRPr="009C65C5">
        <w:rPr>
          <w:rFonts w:eastAsiaTheme="minorHAnsi"/>
          <w:bCs/>
          <w:lang w:eastAsia="en-US"/>
        </w:rPr>
        <w:t>;</w:t>
      </w:r>
    </w:p>
    <w:p w:rsidR="00D1039F" w:rsidRPr="00C254D5" w:rsidRDefault="0052768B" w:rsidP="00E027DD">
      <w:pPr>
        <w:pStyle w:val="a3"/>
        <w:numPr>
          <w:ilvl w:val="0"/>
          <w:numId w:val="2"/>
        </w:numPr>
        <w:ind w:left="0" w:firstLine="284"/>
        <w:jc w:val="both"/>
      </w:pPr>
      <w:r w:rsidRPr="009C65C5">
        <w:rPr>
          <w:rFonts w:eastAsiaTheme="minorHAnsi"/>
          <w:bCs/>
          <w:lang w:eastAsia="en-US"/>
        </w:rPr>
        <w:t xml:space="preserve">постановление администрации м.о. Кандалакшский район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(в редакции от 22.01.2015 № 153) </w:t>
      </w:r>
      <w:r w:rsidR="00C254D5">
        <w:rPr>
          <w:rFonts w:eastAsiaTheme="minorHAnsi"/>
          <w:bCs/>
          <w:lang w:eastAsia="en-US"/>
        </w:rPr>
        <w:t>(далее - Порядок разработки МП);</w:t>
      </w:r>
    </w:p>
    <w:p w:rsidR="00C254D5" w:rsidRPr="00E13294" w:rsidRDefault="00C254D5" w:rsidP="00C254D5">
      <w:pPr>
        <w:pStyle w:val="a3"/>
        <w:numPr>
          <w:ilvl w:val="0"/>
          <w:numId w:val="2"/>
        </w:numPr>
        <w:ind w:left="0" w:firstLine="284"/>
        <w:jc w:val="both"/>
      </w:pPr>
      <w:r w:rsidRPr="00E13294">
        <w:t xml:space="preserve"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</w:t>
      </w:r>
      <w:proofErr w:type="spellStart"/>
      <w:r w:rsidRPr="00E13294">
        <w:t>м.о</w:t>
      </w:r>
      <w:proofErr w:type="spellEnd"/>
      <w:r w:rsidRPr="00E13294">
        <w:t>. Кандалакшский район от 30.10.2019 № 1351;</w:t>
      </w:r>
    </w:p>
    <w:p w:rsidR="00C254D5" w:rsidRPr="00E13294" w:rsidRDefault="00C254D5" w:rsidP="00C254D5">
      <w:pPr>
        <w:pStyle w:val="a3"/>
        <w:numPr>
          <w:ilvl w:val="0"/>
          <w:numId w:val="2"/>
        </w:numPr>
        <w:ind w:left="0" w:firstLine="284"/>
        <w:jc w:val="both"/>
      </w:pPr>
      <w:r w:rsidRPr="00E13294">
        <w:rPr>
          <w:rFonts w:eastAsia="Calibri"/>
          <w:lang w:eastAsia="en-US"/>
        </w:rP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410.</w:t>
      </w:r>
    </w:p>
    <w:p w:rsidR="00C254D5" w:rsidRPr="00F31AED" w:rsidRDefault="00C254D5" w:rsidP="00C254D5">
      <w:pPr>
        <w:pStyle w:val="a3"/>
        <w:ind w:left="284"/>
        <w:jc w:val="both"/>
      </w:pPr>
    </w:p>
    <w:p w:rsidR="00757BAF" w:rsidRPr="00F31AED" w:rsidRDefault="00757BAF" w:rsidP="00441297">
      <w:pPr>
        <w:ind w:firstLine="708"/>
        <w:jc w:val="both"/>
      </w:pPr>
      <w:r w:rsidRPr="00F31AED">
        <w:t>Проект Программы направлен в Контрольно-счетный орган м.о.</w:t>
      </w:r>
      <w:r w:rsidR="00986DAF" w:rsidRPr="00F31AED">
        <w:t xml:space="preserve"> Кандалакшский район 26</w:t>
      </w:r>
      <w:r w:rsidRPr="00F31AED">
        <w:t>.10.2020 года</w:t>
      </w:r>
      <w:r w:rsidR="00484EA0" w:rsidRPr="00F31AED">
        <w:t xml:space="preserve"> без сопроводительного письма</w:t>
      </w:r>
      <w:r w:rsidRPr="00F31AED">
        <w:t>.</w:t>
      </w:r>
    </w:p>
    <w:p w:rsidR="00757BAF" w:rsidRPr="00F31AED" w:rsidRDefault="00757BAF" w:rsidP="00441297">
      <w:pPr>
        <w:ind w:firstLine="708"/>
        <w:jc w:val="both"/>
      </w:pPr>
      <w:r w:rsidRPr="00F31AED">
        <w:t>С проектом Программы представлены следующие документы:</w:t>
      </w:r>
    </w:p>
    <w:p w:rsidR="00AA2282" w:rsidRDefault="00757BAF" w:rsidP="00AA2282">
      <w:pPr>
        <w:ind w:firstLine="708"/>
        <w:jc w:val="both"/>
      </w:pPr>
      <w:r w:rsidRPr="00F31AED">
        <w:t xml:space="preserve">- проект постановления администрации м.о. Кандалакшский район «Об утверждении муниципальной программы </w:t>
      </w:r>
      <w:r w:rsidR="00F31AED" w:rsidRPr="00F31AED">
        <w:t>«Социальная поддержка граждан в муниципальном образовании Кандалакшский район»</w:t>
      </w:r>
      <w:r w:rsidR="00F31AED" w:rsidRPr="00AA2282">
        <w:t xml:space="preserve">; </w:t>
      </w:r>
    </w:p>
    <w:p w:rsidR="00AA2282" w:rsidRPr="005B2551" w:rsidRDefault="00AA2282" w:rsidP="00F31AED">
      <w:pPr>
        <w:ind w:firstLine="708"/>
        <w:jc w:val="both"/>
        <w:rPr>
          <w:color w:val="FF0000"/>
        </w:rPr>
      </w:pPr>
      <w:r>
        <w:t>- приложение № 1 к муниципальной программе.</w:t>
      </w:r>
    </w:p>
    <w:p w:rsidR="00CA106C" w:rsidRDefault="00CA106C" w:rsidP="00757BAF">
      <w:pPr>
        <w:ind w:firstLine="708"/>
        <w:jc w:val="both"/>
      </w:pPr>
    </w:p>
    <w:p w:rsidR="00CD3467" w:rsidRPr="00F31AED" w:rsidRDefault="00CD3467" w:rsidP="00757BAF">
      <w:pPr>
        <w:ind w:firstLine="708"/>
        <w:jc w:val="both"/>
      </w:pPr>
      <w:r>
        <w:t xml:space="preserve">В проекте постановления не нашли отражения муниципальные правовые акты, утратившие силу в связи с принятием новой муниципальной программы. </w:t>
      </w:r>
    </w:p>
    <w:p w:rsidR="00CD08E1" w:rsidRPr="005B2551" w:rsidRDefault="00CD08E1" w:rsidP="00757BAF">
      <w:pPr>
        <w:ind w:firstLine="708"/>
        <w:jc w:val="both"/>
        <w:rPr>
          <w:b/>
          <w:color w:val="FF0000"/>
        </w:rPr>
      </w:pPr>
    </w:p>
    <w:p w:rsidR="00757BAF" w:rsidRPr="007779B2" w:rsidRDefault="00757BAF" w:rsidP="00757BAF">
      <w:pPr>
        <w:ind w:firstLine="708"/>
        <w:jc w:val="both"/>
        <w:rPr>
          <w:b/>
        </w:rPr>
      </w:pPr>
      <w:r w:rsidRPr="007779B2">
        <w:rPr>
          <w:b/>
        </w:rPr>
        <w:t>В результат</w:t>
      </w:r>
      <w:r w:rsidR="00993585" w:rsidRPr="007779B2">
        <w:rPr>
          <w:b/>
        </w:rPr>
        <w:t>е проведенной экспертизы</w:t>
      </w:r>
      <w:r w:rsidRPr="007779B2">
        <w:rPr>
          <w:b/>
        </w:rPr>
        <w:t xml:space="preserve"> установлено:</w:t>
      </w:r>
    </w:p>
    <w:p w:rsidR="00A31F7B" w:rsidRPr="007779B2" w:rsidRDefault="00A31F7B" w:rsidP="00B436EB">
      <w:pPr>
        <w:ind w:firstLine="708"/>
        <w:jc w:val="both"/>
      </w:pPr>
      <w:r w:rsidRPr="007779B2">
        <w:t xml:space="preserve">Разработка представленного проекта правового акта обусловлена </w:t>
      </w:r>
      <w:r w:rsidR="00F31AED" w:rsidRPr="007779B2">
        <w:t>исполнением полномочий органов местного самоуправления (далее –</w:t>
      </w:r>
      <w:r w:rsidR="00B436EB">
        <w:t xml:space="preserve"> ОМСУ).</w:t>
      </w:r>
    </w:p>
    <w:p w:rsidR="000C2E62" w:rsidRDefault="002C1A52" w:rsidP="00757BAF">
      <w:pPr>
        <w:ind w:firstLine="708"/>
        <w:jc w:val="both"/>
      </w:pPr>
      <w:r w:rsidRPr="007779B2">
        <w:t>Сро</w:t>
      </w:r>
      <w:r w:rsidR="00F06764" w:rsidRPr="007779B2">
        <w:t xml:space="preserve">к реализации </w:t>
      </w:r>
      <w:r w:rsidR="0073456E" w:rsidRPr="0073456E">
        <w:t>программных мероприятий определён</w:t>
      </w:r>
      <w:r w:rsidR="00F06764" w:rsidRPr="0073456E">
        <w:t xml:space="preserve"> </w:t>
      </w:r>
      <w:r w:rsidR="0073456E">
        <w:t xml:space="preserve">на </w:t>
      </w:r>
      <w:r w:rsidR="00F06764" w:rsidRPr="007779B2">
        <w:t>2021-2023</w:t>
      </w:r>
      <w:r w:rsidRPr="007779B2">
        <w:t xml:space="preserve"> годы. </w:t>
      </w:r>
    </w:p>
    <w:p w:rsidR="00F13228" w:rsidRDefault="00F13228" w:rsidP="00F13228">
      <w:pPr>
        <w:ind w:firstLine="708"/>
        <w:jc w:val="both"/>
      </w:pPr>
      <w:r w:rsidRPr="00F13228">
        <w:t>На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от 30.09.2014 № 09-05-05/48843).</w:t>
      </w:r>
    </w:p>
    <w:p w:rsidR="00F074E1" w:rsidRPr="00CA106C" w:rsidRDefault="007B52AB" w:rsidP="00F074E1">
      <w:pPr>
        <w:ind w:firstLine="708"/>
        <w:jc w:val="both"/>
      </w:pPr>
      <w:r w:rsidRPr="00CA106C">
        <w:t>Перечень муниципальных целевых программ, обеспечивающих достижение реализации Стратегии</w:t>
      </w:r>
      <w:r w:rsidR="00F074E1" w:rsidRPr="00CA106C">
        <w:t>,</w:t>
      </w:r>
      <w:r w:rsidRPr="00CA106C">
        <w:t xml:space="preserve"> </w:t>
      </w:r>
      <w:r w:rsidR="00F074E1" w:rsidRPr="00CA106C">
        <w:t>определен</w:t>
      </w:r>
      <w:r w:rsidRPr="00CA106C">
        <w:t xml:space="preserve"> пунктом 2.4. Стратегии социально-экономического развития</w:t>
      </w:r>
      <w:r w:rsidR="00F074E1" w:rsidRPr="00CA106C">
        <w:t xml:space="preserve"> </w:t>
      </w:r>
      <w:r w:rsidRPr="00CA106C">
        <w:t>муниципального образования Кандалакшский район на период до 2025 года</w:t>
      </w:r>
      <w:r w:rsidR="00F074E1" w:rsidRPr="00CA106C">
        <w:t xml:space="preserve"> (утверждено решением Совета депутатов муниципального образования Кандалакшский район от 24.12.2018 № 410), в т.ч. муниципальная программа «Социальная поддержка граждан в муниципальном образовании Кандалакшский район».</w:t>
      </w:r>
    </w:p>
    <w:p w:rsidR="00CA106C" w:rsidRPr="008C5844" w:rsidRDefault="00CA106C" w:rsidP="00CA106C">
      <w:pPr>
        <w:ind w:firstLine="708"/>
        <w:jc w:val="both"/>
      </w:pPr>
      <w:r>
        <w:t xml:space="preserve">Администрацией </w:t>
      </w:r>
      <w:proofErr w:type="spellStart"/>
      <w:r>
        <w:t>м.о</w:t>
      </w:r>
      <w:proofErr w:type="spellEnd"/>
      <w:r>
        <w:t xml:space="preserve">. Кандалакшский район перечень муниципальных программ для разработки проектов программ не утвержден. </w:t>
      </w:r>
    </w:p>
    <w:p w:rsidR="004169F7" w:rsidRDefault="002D1939" w:rsidP="004169F7">
      <w:pPr>
        <w:ind w:firstLine="708"/>
        <w:jc w:val="both"/>
      </w:pPr>
      <w:r w:rsidRPr="007779B2">
        <w:t>Проект Программы принимается в соответствии со статьей 179 Бюджетного кодекса РФ, в рамках полномочий органов местного самоуправления, установленных Федеральным законом от 06.10.2003 №</w:t>
      </w:r>
      <w:r w:rsidR="006E0BC7">
        <w:t xml:space="preserve"> </w:t>
      </w:r>
      <w:r w:rsidRPr="007779B2">
        <w:t>131-ФЗ «Об общих принципах организации местного самоуправления в Российской Федерации»:</w:t>
      </w:r>
    </w:p>
    <w:p w:rsidR="004169F7" w:rsidRPr="007779B2" w:rsidRDefault="004169F7" w:rsidP="004169F7">
      <w:pPr>
        <w:ind w:firstLine="709"/>
        <w:jc w:val="both"/>
      </w:pPr>
      <w:r w:rsidRPr="004169F7">
        <w:t>•</w:t>
      </w:r>
      <w:r>
        <w:t xml:space="preserve"> пунктом 12 статьи 15 - </w:t>
      </w:r>
      <w:r w:rsidRPr="004169F7">
        <w:t>создание условий для оказания медицинской помощи населен</w:t>
      </w:r>
      <w:r>
        <w:t>ию на территории муниципального</w:t>
      </w:r>
      <w:r w:rsidRPr="004169F7"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</w:p>
    <w:p w:rsidR="004169F7" w:rsidRPr="007779B2" w:rsidRDefault="002D1939" w:rsidP="004169F7">
      <w:pPr>
        <w:ind w:firstLine="708"/>
        <w:jc w:val="both"/>
      </w:pPr>
      <w:r w:rsidRPr="007779B2">
        <w:t xml:space="preserve">• </w:t>
      </w:r>
      <w:r w:rsidR="00E5787D" w:rsidRPr="007779B2">
        <w:t>статьей 19 -</w:t>
      </w:r>
      <w:r w:rsidR="007779B2" w:rsidRPr="007779B2">
        <w:t xml:space="preserve"> наделение</w:t>
      </w:r>
      <w:r w:rsidR="00E5787D" w:rsidRPr="007779B2">
        <w:t xml:space="preserve"> органов местного самоуправления отдельными государственными полномочиями</w:t>
      </w:r>
      <w:r w:rsidR="007779B2" w:rsidRPr="007779B2">
        <w:t xml:space="preserve">; </w:t>
      </w:r>
    </w:p>
    <w:p w:rsidR="002D1939" w:rsidRPr="007779B2" w:rsidRDefault="007779B2" w:rsidP="007779B2">
      <w:pPr>
        <w:ind w:firstLine="708"/>
        <w:jc w:val="both"/>
      </w:pPr>
      <w:r w:rsidRPr="007779B2">
        <w:lastRenderedPageBreak/>
        <w:t xml:space="preserve">• статьей </w:t>
      </w:r>
      <w:r w:rsidR="00E5787D" w:rsidRPr="007779B2">
        <w:t>20 - осуществление органами местного самоуправления отдельных государственных полномочий</w:t>
      </w:r>
      <w:r>
        <w:t xml:space="preserve">, включая </w:t>
      </w:r>
      <w:r w:rsidRPr="007779B2">
        <w:t>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7779B2" w:rsidRPr="009D629B" w:rsidRDefault="00716D19" w:rsidP="00097077">
      <w:pPr>
        <w:ind w:firstLine="708"/>
        <w:jc w:val="both"/>
      </w:pPr>
      <w:r w:rsidRPr="009D629B">
        <w:t>Статьей 86 Бюджетного кодекса РФ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 В таком случае расходные обязательства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:rsidR="00716D19" w:rsidRDefault="00716D19" w:rsidP="009D629B">
      <w:pPr>
        <w:ind w:firstLine="708"/>
        <w:jc w:val="both"/>
      </w:pPr>
      <w:r w:rsidRPr="009D629B">
        <w:t>К таким расходным обязательствам в рамках проекта Программы относятся</w:t>
      </w:r>
      <w:r w:rsidR="007317CF">
        <w:t xml:space="preserve"> 5  мероприятий</w:t>
      </w:r>
      <w:r w:rsidRPr="009D629B">
        <w:t>: выплата пенсии за выслугу лет муниципальным служащим ОМСУ муниципального образования; выплата ежемесячной доплаты к страховой пенсии лицам, замещавшим муниципальную должность; предоставление мер социальной поддержки гражданам, удостоенным звания «Почетный гражданин Кандалакшского района»</w:t>
      </w:r>
      <w:r w:rsidR="00E027DD">
        <w:t>;</w:t>
      </w:r>
      <w:r w:rsidRPr="009D629B">
        <w:t xml:space="preserve"> врачам-специалистам при устройстве в ГОБУЗ «Кандалакшская центральная районная больница»</w:t>
      </w:r>
      <w:r w:rsidR="009D629B" w:rsidRPr="009D629B">
        <w:t xml:space="preserve">; компенсации расходов на оплату стоимости проезда в учреждения здравоохранения Мурманской области, находящиеся за пределами муниципального </w:t>
      </w:r>
      <w:r w:rsidR="009D629B">
        <w:t>образования Кандалакшский район.</w:t>
      </w:r>
    </w:p>
    <w:p w:rsidR="00716D19" w:rsidRPr="00F074E1" w:rsidRDefault="00887670" w:rsidP="00E027DD">
      <w:pPr>
        <w:ind w:firstLine="708"/>
        <w:jc w:val="both"/>
      </w:pPr>
      <w:r>
        <w:t xml:space="preserve">По остальным 4 мероприятиям источниками финансирования являются </w:t>
      </w:r>
      <w:r w:rsidRPr="00F074E1">
        <w:t>региональный и федеральный бюджеты.</w:t>
      </w:r>
      <w:r w:rsidR="00E027DD" w:rsidRPr="00F074E1">
        <w:t xml:space="preserve"> </w:t>
      </w:r>
    </w:p>
    <w:p w:rsidR="002D1939" w:rsidRPr="007779B2" w:rsidRDefault="002D1939" w:rsidP="007779B2">
      <w:pPr>
        <w:ind w:firstLine="708"/>
        <w:jc w:val="both"/>
      </w:pPr>
      <w:r w:rsidRPr="007779B2">
        <w:t>Разработчиком проекта (заказчиком и заказчиком-координатором)</w:t>
      </w:r>
      <w:r w:rsidR="00097077" w:rsidRPr="007779B2">
        <w:t>, основным исполнителем</w:t>
      </w:r>
      <w:r w:rsidRPr="007779B2">
        <w:t xml:space="preserve"> Программы является </w:t>
      </w:r>
      <w:r w:rsidR="007779B2" w:rsidRPr="007779B2">
        <w:t xml:space="preserve">сектор по социальным вопросам </w:t>
      </w:r>
      <w:r w:rsidRPr="007779B2">
        <w:t xml:space="preserve">администрации м.о. Кандалакшский район.     </w:t>
      </w:r>
      <w:r w:rsidR="00097077" w:rsidRPr="007779B2">
        <w:t xml:space="preserve"> </w:t>
      </w:r>
    </w:p>
    <w:p w:rsidR="002C1A52" w:rsidRDefault="00B436EB" w:rsidP="006270B4">
      <w:pPr>
        <w:ind w:firstLine="709"/>
        <w:jc w:val="both"/>
      </w:pPr>
      <w:r>
        <w:t xml:space="preserve">На реализацию мероприятий проекта Программы разработчиком предлагается утвердить объем финансирования в сумме </w:t>
      </w:r>
      <w:r w:rsidR="00C56DE2" w:rsidRPr="00C56DE2">
        <w:rPr>
          <w:b/>
        </w:rPr>
        <w:t>130 587,37</w:t>
      </w:r>
      <w:r w:rsidR="002C1A52" w:rsidRPr="00C56DE2">
        <w:rPr>
          <w:b/>
        </w:rPr>
        <w:t xml:space="preserve"> </w:t>
      </w:r>
      <w:r w:rsidR="006270B4" w:rsidRPr="00C56DE2">
        <w:rPr>
          <w:b/>
        </w:rPr>
        <w:t>тыс. руб</w:t>
      </w:r>
      <w:r w:rsidR="006270B4" w:rsidRPr="00C56DE2">
        <w:t xml:space="preserve">., </w:t>
      </w:r>
      <w:r w:rsidR="002C1A52" w:rsidRPr="00C56DE2">
        <w:t>в том числе по годам:</w:t>
      </w:r>
    </w:p>
    <w:p w:rsidR="00B436EB" w:rsidRDefault="00B436EB" w:rsidP="006270B4">
      <w:pPr>
        <w:ind w:firstLine="709"/>
        <w:jc w:val="both"/>
      </w:pPr>
      <w:r>
        <w:t>2021 год – 45 230,19 тыс. руб.;</w:t>
      </w:r>
    </w:p>
    <w:p w:rsidR="00B436EB" w:rsidRDefault="00B436EB" w:rsidP="006270B4">
      <w:pPr>
        <w:ind w:firstLine="709"/>
        <w:jc w:val="both"/>
      </w:pPr>
      <w:r>
        <w:t>2022 год – 42 678,59 тыс. руб.;</w:t>
      </w:r>
    </w:p>
    <w:p w:rsidR="00B436EB" w:rsidRDefault="00B436EB" w:rsidP="006270B4">
      <w:pPr>
        <w:ind w:firstLine="709"/>
        <w:jc w:val="both"/>
      </w:pPr>
      <w:r>
        <w:t>2023 год – 42 678,59 тыс. руб.</w:t>
      </w:r>
    </w:p>
    <w:p w:rsidR="000C2E62" w:rsidRPr="00296F93" w:rsidRDefault="00B436EB" w:rsidP="00296F93">
      <w:pPr>
        <w:ind w:firstLine="709"/>
        <w:jc w:val="both"/>
      </w:pPr>
      <w:r>
        <w:t xml:space="preserve">Источниками финансирования являются: местный бюджет в сумме 31 976,37 тыс. руб., </w:t>
      </w:r>
      <w:r w:rsidR="00F074E1">
        <w:t xml:space="preserve">федеральный </w:t>
      </w:r>
      <w:r>
        <w:t>и региональный бюджет в сумме 98 611,00 тыс. руб.</w:t>
      </w:r>
    </w:p>
    <w:p w:rsidR="00EF6121" w:rsidRDefault="0043068B" w:rsidP="0083360C">
      <w:pPr>
        <w:autoSpaceDE w:val="0"/>
        <w:autoSpaceDN w:val="0"/>
        <w:adjustRightInd w:val="0"/>
        <w:ind w:firstLine="709"/>
        <w:jc w:val="both"/>
        <w:outlineLvl w:val="0"/>
      </w:pPr>
      <w:r w:rsidRPr="00A504B6">
        <w:t xml:space="preserve">Целью </w:t>
      </w:r>
      <w:r w:rsidRPr="00A504B6">
        <w:rPr>
          <w:bCs/>
        </w:rPr>
        <w:t>проекта Программы</w:t>
      </w:r>
      <w:r w:rsidR="00A504B6" w:rsidRPr="00A504B6">
        <w:t xml:space="preserve"> является оказание мер социальной поддержки отдельным категориям</w:t>
      </w:r>
      <w:r w:rsidR="00A504B6">
        <w:t xml:space="preserve"> граждан</w:t>
      </w:r>
      <w:r w:rsidR="00A504B6" w:rsidRPr="00A504B6">
        <w:t>.</w:t>
      </w:r>
    </w:p>
    <w:p w:rsidR="00743FCA" w:rsidRPr="00D04621" w:rsidRDefault="00743FCA" w:rsidP="00D04621">
      <w:pPr>
        <w:autoSpaceDE w:val="0"/>
        <w:autoSpaceDN w:val="0"/>
        <w:adjustRightInd w:val="0"/>
        <w:ind w:firstLine="709"/>
        <w:jc w:val="both"/>
        <w:outlineLvl w:val="0"/>
      </w:pPr>
      <w:r>
        <w:t>В «перечне основных мероприятий программы» отражено распределение финансовых ресурсов по ответственному исполнителю и соисполнителям.</w:t>
      </w:r>
    </w:p>
    <w:p w:rsidR="00F13228" w:rsidRPr="00F13228" w:rsidRDefault="00F13228" w:rsidP="00E42B7B">
      <w:pPr>
        <w:jc w:val="both"/>
        <w:rPr>
          <w:highlight w:val="yellow"/>
        </w:rPr>
      </w:pPr>
    </w:p>
    <w:p w:rsidR="009B6189" w:rsidRDefault="009B6189" w:rsidP="009B6189">
      <w:pPr>
        <w:ind w:firstLine="709"/>
        <w:jc w:val="both"/>
      </w:pPr>
      <w:r>
        <w:t>При проведении экспертизы текстовой части проекта Программы установлено</w:t>
      </w:r>
      <w:r w:rsidR="002D18A7">
        <w:t>.</w:t>
      </w:r>
    </w:p>
    <w:p w:rsidR="002D18A7" w:rsidRDefault="002D18A7" w:rsidP="002D18A7">
      <w:pPr>
        <w:ind w:firstLine="709"/>
        <w:jc w:val="both"/>
      </w:pPr>
      <w:r w:rsidRPr="00B91825">
        <w:t xml:space="preserve">Цели муниципальной программы должны соответствовать </w:t>
      </w:r>
      <w:r w:rsidR="00B91825">
        <w:t>приоритетным направлениям развития муниципального образования Кандалакшский район</w:t>
      </w:r>
      <w:r w:rsidRPr="00730EDD">
        <w:rPr>
          <w:color w:val="FF0000"/>
        </w:rPr>
        <w:t xml:space="preserve"> </w:t>
      </w:r>
      <w:r w:rsidRPr="002D18A7">
        <w:t>(пункт 2.6 Порядка разработки МП).</w:t>
      </w:r>
    </w:p>
    <w:p w:rsidR="002D18A7" w:rsidRDefault="002D18A7" w:rsidP="002D18A7">
      <w:pPr>
        <w:ind w:firstLine="709"/>
        <w:jc w:val="both"/>
      </w:pPr>
      <w:r>
        <w:t>Ц</w:t>
      </w:r>
      <w:r w:rsidRPr="002D18A7">
        <w:t xml:space="preserve">ель проекта Программы </w:t>
      </w:r>
      <w:r w:rsidR="00B91825" w:rsidRPr="00F074E1">
        <w:rPr>
          <w:b/>
        </w:rPr>
        <w:t xml:space="preserve">«оказание мер социальной поддержки отдельным категориям граждан» </w:t>
      </w:r>
      <w:r w:rsidRPr="00F074E1">
        <w:t>не соот</w:t>
      </w:r>
      <w:r w:rsidRPr="002D18A7">
        <w:t>ветствует целям развития Кандалакшского района, установленным в стратегических документах, в сфере социальной защиты населения и не отражает направления развития района в рассматриваемой сфере деятельности.</w:t>
      </w:r>
    </w:p>
    <w:p w:rsidR="001D2688" w:rsidRDefault="002D18A7" w:rsidP="006259A4">
      <w:pPr>
        <w:ind w:firstLine="709"/>
        <w:jc w:val="both"/>
      </w:pPr>
      <w:r>
        <w:t>В</w:t>
      </w:r>
      <w:r w:rsidR="00F23216" w:rsidRPr="006259A4">
        <w:t xml:space="preserve"> соответствии со Стратегией социально-экономического развития муниципального образования Кандалакшский район на период до 2025 года, утвержденной решением Совета депутатов муниципального образования Кандалакшский район от 24.12.2018 № 410, основная цель социально-экономического развития муниципального образования Кандалакшский район – </w:t>
      </w:r>
      <w:r w:rsidR="00F23216" w:rsidRPr="00480A88">
        <w:rPr>
          <w:b/>
        </w:rPr>
        <w:t xml:space="preserve">устойчивое социально-экономическое развитие, сопровождающиеся поступательным </w:t>
      </w:r>
      <w:r w:rsidR="00F23216" w:rsidRPr="0083360C">
        <w:rPr>
          <w:b/>
        </w:rPr>
        <w:t>повы</w:t>
      </w:r>
      <w:r w:rsidR="006259A4" w:rsidRPr="0083360C">
        <w:rPr>
          <w:b/>
        </w:rPr>
        <w:t>шением качества жизни населения.</w:t>
      </w:r>
      <w:r w:rsidR="00F23216" w:rsidRPr="006259A4">
        <w:t xml:space="preserve"> </w:t>
      </w:r>
    </w:p>
    <w:p w:rsidR="00FA321B" w:rsidRPr="000F3C30" w:rsidRDefault="00F23216" w:rsidP="006259A4">
      <w:pPr>
        <w:ind w:firstLine="709"/>
        <w:jc w:val="both"/>
        <w:rPr>
          <w:b/>
        </w:rPr>
      </w:pPr>
      <w:r w:rsidRPr="0083360C">
        <w:rPr>
          <w:b/>
        </w:rPr>
        <w:lastRenderedPageBreak/>
        <w:t xml:space="preserve">Достижение цели требует реализации </w:t>
      </w:r>
      <w:r w:rsidR="006259A4" w:rsidRPr="0083360C">
        <w:rPr>
          <w:b/>
        </w:rPr>
        <w:t>одной из</w:t>
      </w:r>
      <w:r w:rsidRPr="0083360C">
        <w:rPr>
          <w:b/>
        </w:rPr>
        <w:t xml:space="preserve"> задач</w:t>
      </w:r>
      <w:r w:rsidRPr="00EF6121">
        <w:rPr>
          <w:b/>
        </w:rPr>
        <w:t>:</w:t>
      </w:r>
      <w:r w:rsidRPr="006259A4">
        <w:t xml:space="preserve"> </w:t>
      </w:r>
      <w:r w:rsidR="001D2688" w:rsidRPr="000F3C30">
        <w:rPr>
          <w:b/>
        </w:rPr>
        <w:t>развитие социальной инфраструктуры, обеспечение мер социальной поддержки и безопасности жизнедеятельности.</w:t>
      </w:r>
    </w:p>
    <w:p w:rsidR="00D031D4" w:rsidRPr="005D2B5F" w:rsidRDefault="006E0BC7" w:rsidP="00D031D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Программы </w:t>
      </w:r>
      <w:r w:rsidR="00EF6121" w:rsidRPr="005D2B5F">
        <w:rPr>
          <w:rFonts w:eastAsia="Calibri"/>
          <w:lang w:eastAsia="en-US"/>
        </w:rPr>
        <w:t xml:space="preserve">нацелен </w:t>
      </w:r>
      <w:r w:rsidR="00EF6121" w:rsidRPr="00543498">
        <w:rPr>
          <w:rFonts w:eastAsia="Calibri"/>
          <w:lang w:eastAsia="en-US"/>
        </w:rPr>
        <w:t xml:space="preserve">не </w:t>
      </w:r>
      <w:r w:rsidR="00543498" w:rsidRPr="00543498">
        <w:rPr>
          <w:rFonts w:eastAsia="Calibri"/>
          <w:lang w:eastAsia="en-US"/>
        </w:rPr>
        <w:t xml:space="preserve">на </w:t>
      </w:r>
      <w:r w:rsidR="00543498">
        <w:rPr>
          <w:rFonts w:eastAsia="Calibri"/>
          <w:lang w:eastAsia="en-US"/>
        </w:rPr>
        <w:t xml:space="preserve">повышение </w:t>
      </w:r>
      <w:r w:rsidR="00543498" w:rsidRPr="00543498">
        <w:t>качества жизни населения</w:t>
      </w:r>
      <w:r w:rsidR="00543498" w:rsidRPr="00543498">
        <w:rPr>
          <w:rFonts w:eastAsia="Calibri"/>
          <w:lang w:eastAsia="en-US"/>
        </w:rPr>
        <w:t xml:space="preserve"> (</w:t>
      </w:r>
      <w:r w:rsidR="00EF6121" w:rsidRPr="00543498">
        <w:rPr>
          <w:rFonts w:eastAsia="Calibri"/>
          <w:lang w:eastAsia="en-US"/>
        </w:rPr>
        <w:t>повышение доступности и результативности мер социальной поддержки населения и создание условий для роста благосостояния граждан, обеспечение защиты социально уязвимых слоев населения, достойной старости</w:t>
      </w:r>
      <w:r w:rsidR="00543498" w:rsidRPr="00543498">
        <w:rPr>
          <w:rFonts w:eastAsia="Calibri"/>
          <w:lang w:eastAsia="en-US"/>
        </w:rPr>
        <w:t>)</w:t>
      </w:r>
      <w:r w:rsidR="00EF6121" w:rsidRPr="00543498">
        <w:rPr>
          <w:rFonts w:eastAsia="Calibri"/>
          <w:lang w:eastAsia="en-US"/>
        </w:rPr>
        <w:t>,</w:t>
      </w:r>
      <w:r w:rsidR="00EF6121" w:rsidRPr="005D2B5F">
        <w:rPr>
          <w:rFonts w:eastAsia="Calibri"/>
          <w:lang w:eastAsia="en-US"/>
        </w:rPr>
        <w:t xml:space="preserve"> а</w:t>
      </w:r>
      <w:r w:rsidR="00D031D4" w:rsidRPr="005D2B5F">
        <w:rPr>
          <w:rFonts w:eastAsia="Calibri"/>
          <w:lang w:eastAsia="en-US"/>
        </w:rPr>
        <w:t xml:space="preserve"> на </w:t>
      </w:r>
      <w:r w:rsidR="00FD1BEB" w:rsidRPr="005D2B5F">
        <w:rPr>
          <w:rFonts w:eastAsia="Calibri"/>
          <w:lang w:eastAsia="en-US"/>
        </w:rPr>
        <w:t>исполнение полномочий ОМСУ по оказанию мер социальной поддержки отдельным категориям граждан.</w:t>
      </w:r>
    </w:p>
    <w:p w:rsidR="00436B54" w:rsidRPr="005D2B5F" w:rsidRDefault="009740FC" w:rsidP="009740FC">
      <w:pPr>
        <w:ind w:firstLine="709"/>
        <w:jc w:val="both"/>
      </w:pPr>
      <w:r w:rsidRPr="005D2B5F">
        <w:rPr>
          <w:rFonts w:eastAsia="Calibri"/>
          <w:lang w:eastAsia="en-US"/>
        </w:rPr>
        <w:t>К приоритетным направлениям социальной политики Российской Федерации, определенным правовыми актами</w:t>
      </w:r>
      <w:r w:rsidR="00D031D4" w:rsidRPr="005D2B5F">
        <w:rPr>
          <w:rFonts w:eastAsia="Calibri"/>
          <w:lang w:eastAsia="en-US"/>
        </w:rPr>
        <w:t xml:space="preserve"> РФ</w:t>
      </w:r>
      <w:r w:rsidRPr="005D2B5F">
        <w:rPr>
          <w:rFonts w:eastAsia="Calibri"/>
          <w:lang w:eastAsia="en-US"/>
        </w:rPr>
        <w:t>, отнесены в том числе: повышение благосостоя</w:t>
      </w:r>
      <w:r w:rsidR="00D031D4" w:rsidRPr="005D2B5F">
        <w:rPr>
          <w:rFonts w:eastAsia="Calibri"/>
          <w:lang w:eastAsia="en-US"/>
        </w:rPr>
        <w:t>ния граждан и снижение бедности.</w:t>
      </w:r>
    </w:p>
    <w:p w:rsidR="00D04621" w:rsidRDefault="00D031D4" w:rsidP="00D04621">
      <w:pPr>
        <w:ind w:firstLine="709"/>
        <w:jc w:val="both"/>
        <w:rPr>
          <w:b/>
        </w:rPr>
      </w:pPr>
      <w:r w:rsidRPr="005D2B5F">
        <w:t xml:space="preserve">К числу основных приоритетов в рамках реализации проекта Программы </w:t>
      </w:r>
      <w:r w:rsidRPr="00543498">
        <w:t>следует отнести</w:t>
      </w:r>
      <w:r>
        <w:t xml:space="preserve"> </w:t>
      </w:r>
      <w:r w:rsidRPr="00D031D4">
        <w:rPr>
          <w:b/>
        </w:rPr>
        <w:t>своевременное и в полном объеме исполнение социальных обязательств, предусмотренных федеральным</w:t>
      </w:r>
      <w:r w:rsidR="00EF6121">
        <w:rPr>
          <w:b/>
        </w:rPr>
        <w:t>, региональным законодательствами</w:t>
      </w:r>
      <w:r w:rsidRPr="00D031D4">
        <w:rPr>
          <w:b/>
        </w:rPr>
        <w:t xml:space="preserve">, и муниципальными </w:t>
      </w:r>
      <w:r w:rsidR="00710F4F">
        <w:rPr>
          <w:b/>
        </w:rPr>
        <w:t>правовыми</w:t>
      </w:r>
      <w:r w:rsidRPr="00D031D4">
        <w:rPr>
          <w:b/>
        </w:rPr>
        <w:t xml:space="preserve"> актами.</w:t>
      </w:r>
    </w:p>
    <w:p w:rsidR="00BB2FE3" w:rsidRPr="00EF6121" w:rsidRDefault="00D04621" w:rsidP="00EF6121">
      <w:pPr>
        <w:ind w:firstLine="709"/>
        <w:jc w:val="both"/>
      </w:pPr>
      <w:r>
        <w:t>Соответственно, ожидаемым конечным результатом реализации проекта П</w:t>
      </w:r>
      <w:r w:rsidRPr="00D04621">
        <w:t xml:space="preserve">рограммы </w:t>
      </w:r>
      <w:r w:rsidR="00BA77F9">
        <w:t>станут у</w:t>
      </w:r>
      <w:r w:rsidR="00BA77F9" w:rsidRPr="00BA77F9">
        <w:t>лучшение материального положения, условий и качества жизни граждан, нуждающихся в поддержке.</w:t>
      </w:r>
    </w:p>
    <w:p w:rsidR="00BB2FE3" w:rsidRPr="005B2551" w:rsidRDefault="00BB2FE3" w:rsidP="008A0A0D">
      <w:pPr>
        <w:ind w:firstLine="709"/>
        <w:jc w:val="both"/>
        <w:rPr>
          <w:color w:val="FF0000"/>
        </w:rPr>
      </w:pPr>
      <w:r w:rsidRPr="00D031D4"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м.о. Кандалакшский район от 30.10.2019 № 1351, который является основополагающим документом системы управления развитием района, цель, определенная проектом Программы, а также проблемы, пути их решения, не </w:t>
      </w:r>
      <w:r w:rsidR="00FA321B">
        <w:t>отражены</w:t>
      </w:r>
      <w:r w:rsidRPr="00D031D4">
        <w:t>.</w:t>
      </w:r>
      <w:r w:rsidR="008A0A0D" w:rsidRPr="008A0A0D">
        <w:t xml:space="preserve"> </w:t>
      </w:r>
    </w:p>
    <w:p w:rsidR="00F13228" w:rsidRPr="0024558B" w:rsidRDefault="008A0A0D" w:rsidP="008A0A0D">
      <w:pPr>
        <w:ind w:firstLine="709"/>
        <w:jc w:val="both"/>
      </w:pPr>
      <w:r w:rsidRPr="0024558B">
        <w:t xml:space="preserve">В текстовой части проекта Программы не отражены приоритеты муниципальной политики в сфере реализации муниципальной программы, цели, задачи муниципальной программы. </w:t>
      </w:r>
      <w:r w:rsidR="00F13228" w:rsidRPr="0024558B">
        <w:t>П</w:t>
      </w:r>
      <w:r w:rsidRPr="0024558B">
        <w:t>роект муниципальной программы не содержит проблемных</w:t>
      </w:r>
      <w:r w:rsidR="00F13228" w:rsidRPr="0024558B">
        <w:t xml:space="preserve"> вопросов</w:t>
      </w:r>
      <w:r w:rsidR="00954EFF" w:rsidRPr="0024558B">
        <w:t xml:space="preserve"> (за исключением недостаточностью укомплектованности учреждений здравоохранения кадрами)</w:t>
      </w:r>
      <w:r w:rsidR="00F13228" w:rsidRPr="0024558B">
        <w:t xml:space="preserve"> развит</w:t>
      </w:r>
      <w:r w:rsidRPr="0024558B">
        <w:t xml:space="preserve">ия м.о. Кандалакшский район, выявленных путем </w:t>
      </w:r>
      <w:r w:rsidR="00F13228" w:rsidRPr="0024558B">
        <w:t>проведения социологических (статистических) и иных исследований, или анализа тенденций социально-эк</w:t>
      </w:r>
      <w:r w:rsidRPr="0024558B">
        <w:t xml:space="preserve">ономического развития района. </w:t>
      </w:r>
    </w:p>
    <w:p w:rsidR="001E086C" w:rsidRDefault="001E086C" w:rsidP="001E086C">
      <w:pPr>
        <w:ind w:firstLine="709"/>
        <w:jc w:val="both"/>
      </w:pPr>
      <w:r w:rsidRPr="0024558B">
        <w:t>Для достижения поставленной цели в проекте</w:t>
      </w:r>
      <w:r>
        <w:t xml:space="preserve"> Программы определены 9 задач.</w:t>
      </w:r>
    </w:p>
    <w:p w:rsidR="001E086C" w:rsidRDefault="001E086C" w:rsidP="00E027DD">
      <w:pPr>
        <w:ind w:firstLine="709"/>
        <w:jc w:val="both"/>
      </w:pPr>
      <w:r>
        <w:t xml:space="preserve">По мнению КСО, </w:t>
      </w:r>
      <w:r w:rsidR="00916D86">
        <w:t xml:space="preserve">предлагаемая </w:t>
      </w:r>
      <w:r w:rsidR="00AC4CA7">
        <w:t xml:space="preserve">в проекте Программы </w:t>
      </w:r>
      <w:r>
        <w:t>цель должна являться задачей программы</w:t>
      </w:r>
      <w:r w:rsidR="00AC4CA7">
        <w:t xml:space="preserve"> </w:t>
      </w:r>
      <w:r w:rsidR="00AC4CA7" w:rsidRPr="00AC4CA7">
        <w:t>–</w:t>
      </w:r>
      <w:r w:rsidR="00916D86">
        <w:t xml:space="preserve"> «оказание мер социальной поддержки граждан»</w:t>
      </w:r>
      <w:r w:rsidR="0083360C">
        <w:t xml:space="preserve"> </w:t>
      </w:r>
      <w:r w:rsidR="00AC4CA7">
        <w:t>(</w:t>
      </w:r>
      <w:r w:rsidR="008A0A0D">
        <w:t>«</w:t>
      </w:r>
      <w:r w:rsidR="00BA77F9">
        <w:t>о</w:t>
      </w:r>
      <w:r w:rsidR="0083360C">
        <w:t>бесп</w:t>
      </w:r>
      <w:r w:rsidR="00BA77F9">
        <w:t>ечение мер социальной поддержки</w:t>
      </w:r>
      <w:r w:rsidR="008A0A0D">
        <w:t>»</w:t>
      </w:r>
      <w:r w:rsidR="00BA77F9">
        <w:t xml:space="preserve">, </w:t>
      </w:r>
      <w:r w:rsidR="008A0A0D">
        <w:t>«</w:t>
      </w:r>
      <w:r w:rsidR="00BA77F9" w:rsidRPr="00BA77F9">
        <w:t>создание условий для роста благосостояния граждан - получ</w:t>
      </w:r>
      <w:r w:rsidR="00BA77F9">
        <w:t>ателей мер социальной поддержки</w:t>
      </w:r>
      <w:r w:rsidR="008A0A0D">
        <w:t>»</w:t>
      </w:r>
      <w:r w:rsidR="00AC4CA7">
        <w:t>)</w:t>
      </w:r>
      <w:r>
        <w:t xml:space="preserve">, </w:t>
      </w:r>
      <w:r w:rsidR="00916D86">
        <w:t>а целью п</w:t>
      </w:r>
      <w:r w:rsidR="00D20879">
        <w:t xml:space="preserve">рограммы, </w:t>
      </w:r>
      <w:r w:rsidR="00A35A0D">
        <w:t>например</w:t>
      </w:r>
      <w:r w:rsidR="00D20879">
        <w:t>,</w:t>
      </w:r>
      <w:r w:rsidR="00A35A0D">
        <w:t xml:space="preserve"> определить: </w:t>
      </w:r>
      <w:r w:rsidR="008A0A0D">
        <w:t>«</w:t>
      </w:r>
      <w:r w:rsidR="00916D86">
        <w:t xml:space="preserve">социальное обеспечение и социальная защита </w:t>
      </w:r>
      <w:r w:rsidR="00AC4CA7">
        <w:t xml:space="preserve">отдельных категорий </w:t>
      </w:r>
      <w:r w:rsidR="00BA77F9">
        <w:t>граждан</w:t>
      </w:r>
      <w:r w:rsidR="008A0A0D">
        <w:t>»</w:t>
      </w:r>
      <w:r w:rsidR="00BA77F9">
        <w:t>, или</w:t>
      </w:r>
      <w:r w:rsidR="00BA77F9" w:rsidRPr="00BA77F9">
        <w:t xml:space="preserve"> </w:t>
      </w:r>
      <w:r w:rsidR="00CD3467" w:rsidRPr="00CD3467">
        <w:t>–</w:t>
      </w:r>
      <w:r w:rsidR="00A35A0D">
        <w:t xml:space="preserve"> </w:t>
      </w:r>
      <w:r w:rsidR="008A0A0D">
        <w:t>«</w:t>
      </w:r>
      <w:r w:rsidR="00BA77F9" w:rsidRPr="00BA77F9">
        <w:t>улучшение качества жизни населения и обеспечение социальной стабильности</w:t>
      </w:r>
      <w:r w:rsidR="00BA77F9">
        <w:t xml:space="preserve"> в </w:t>
      </w:r>
      <w:r w:rsidR="00A35A0D">
        <w:t xml:space="preserve">Кандалакшском </w:t>
      </w:r>
      <w:r w:rsidR="00BA77F9">
        <w:t>районе</w:t>
      </w:r>
      <w:r w:rsidR="008A0A0D">
        <w:t>»</w:t>
      </w:r>
      <w:r w:rsidR="00916D86" w:rsidRPr="00BA77F9">
        <w:t>.</w:t>
      </w:r>
    </w:p>
    <w:p w:rsidR="00CA68B4" w:rsidRPr="00916D86" w:rsidRDefault="00AF1A91" w:rsidP="00916D86">
      <w:pPr>
        <w:ind w:firstLine="709"/>
        <w:jc w:val="both"/>
      </w:pPr>
      <w:r w:rsidRPr="00D031D4">
        <w:t>Измеряемые натуральные показатели</w:t>
      </w:r>
      <w:r w:rsidR="002D1939" w:rsidRPr="00D031D4">
        <w:t>, приведенные в таблице</w:t>
      </w:r>
      <w:r w:rsidR="00296F93">
        <w:t xml:space="preserve"> № 1</w:t>
      </w:r>
      <w:r w:rsidR="002D1939" w:rsidRPr="00D031D4">
        <w:t>,</w:t>
      </w:r>
      <w:r w:rsidRPr="00D031D4">
        <w:t xml:space="preserve"> </w:t>
      </w:r>
      <w:r w:rsidRPr="00BF29DC">
        <w:t xml:space="preserve">не позволяют </w:t>
      </w:r>
      <w:r w:rsidR="00FA321B" w:rsidRPr="00BF29DC">
        <w:t>оценить степень достижения цели</w:t>
      </w:r>
      <w:r w:rsidRPr="00BF29DC">
        <w:t xml:space="preserve"> и выполнения задач </w:t>
      </w:r>
      <w:r w:rsidR="00FA321B" w:rsidRPr="00BF29DC">
        <w:t xml:space="preserve">проекта </w:t>
      </w:r>
      <w:r w:rsidRPr="00BF29DC">
        <w:t>Программы.</w:t>
      </w:r>
    </w:p>
    <w:p w:rsidR="00CA68B4" w:rsidRPr="00CA68B4" w:rsidRDefault="00CA68B4" w:rsidP="0024558B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  <w:r w:rsidRPr="00CA68B4">
        <w:rPr>
          <w:rFonts w:eastAsia="Calibri"/>
          <w:b/>
        </w:rPr>
        <w:t xml:space="preserve"> </w:t>
      </w:r>
      <w:r w:rsidR="00F73803" w:rsidRPr="00F73803">
        <w:rPr>
          <w:rFonts w:eastAsia="Calibri"/>
          <w:sz w:val="16"/>
          <w:szCs w:val="16"/>
        </w:rPr>
        <w:t xml:space="preserve">Таблица </w:t>
      </w:r>
      <w:r w:rsidR="00296F93">
        <w:rPr>
          <w:rFonts w:eastAsia="Calibri"/>
          <w:sz w:val="16"/>
          <w:szCs w:val="16"/>
        </w:rPr>
        <w:t>№ 1</w:t>
      </w:r>
    </w:p>
    <w:tbl>
      <w:tblPr>
        <w:tblStyle w:val="11"/>
        <w:tblW w:w="10249" w:type="dxa"/>
        <w:tblInd w:w="-618" w:type="dxa"/>
        <w:tblLayout w:type="fixed"/>
        <w:tblLook w:val="01E0" w:firstRow="1" w:lastRow="1" w:firstColumn="1" w:lastColumn="1" w:noHBand="0" w:noVBand="0"/>
      </w:tblPr>
      <w:tblGrid>
        <w:gridCol w:w="811"/>
        <w:gridCol w:w="3624"/>
        <w:gridCol w:w="708"/>
        <w:gridCol w:w="284"/>
        <w:gridCol w:w="992"/>
        <w:gridCol w:w="995"/>
        <w:gridCol w:w="993"/>
        <w:gridCol w:w="992"/>
        <w:gridCol w:w="850"/>
      </w:tblGrid>
      <w:tr w:rsidR="00CA68B4" w:rsidRPr="00CA68B4" w:rsidTr="00D3512F">
        <w:trPr>
          <w:tblHeader/>
        </w:trPr>
        <w:tc>
          <w:tcPr>
            <w:tcW w:w="811" w:type="dxa"/>
            <w:vMerge w:val="restart"/>
          </w:tcPr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24" w:type="dxa"/>
            <w:vMerge w:val="restart"/>
          </w:tcPr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708" w:type="dxa"/>
            <w:vMerge w:val="restart"/>
          </w:tcPr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 xml:space="preserve">Ед. </w:t>
            </w:r>
          </w:p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106" w:type="dxa"/>
            <w:gridSpan w:val="6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Значение показателя (индикатора)</w:t>
            </w:r>
          </w:p>
        </w:tc>
      </w:tr>
      <w:tr w:rsidR="00D3512F" w:rsidRPr="00CA68B4" w:rsidTr="00D3512F">
        <w:trPr>
          <w:tblHeader/>
        </w:trPr>
        <w:tc>
          <w:tcPr>
            <w:tcW w:w="811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24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 xml:space="preserve">Отчетный период </w:t>
            </w:r>
          </w:p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5" w:type="dxa"/>
            <w:vMerge w:val="restart"/>
          </w:tcPr>
          <w:p w:rsidR="00CA68B4" w:rsidRPr="00FA321B" w:rsidRDefault="00CA68B4" w:rsidP="00D3512F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>Текущий год 2020</w:t>
            </w:r>
          </w:p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Годы реа</w:t>
            </w:r>
            <w:r w:rsidR="00FA321B" w:rsidRPr="00FA321B">
              <w:rPr>
                <w:b/>
                <w:sz w:val="16"/>
                <w:szCs w:val="16"/>
              </w:rPr>
              <w:t>лизации программы</w:t>
            </w:r>
          </w:p>
        </w:tc>
      </w:tr>
      <w:tr w:rsidR="00CA68B4" w:rsidRPr="00CA68B4" w:rsidTr="00D3512F">
        <w:trPr>
          <w:tblHeader/>
        </w:trPr>
        <w:tc>
          <w:tcPr>
            <w:tcW w:w="811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24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A68B4" w:rsidRPr="00FA321B" w:rsidRDefault="00CA68B4" w:rsidP="00CA68B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A321B">
              <w:rPr>
                <w:b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992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A321B">
              <w:rPr>
                <w:b/>
                <w:color w:val="000000"/>
                <w:sz w:val="16"/>
                <w:szCs w:val="16"/>
              </w:rPr>
              <w:t>2023</w:t>
            </w:r>
          </w:p>
        </w:tc>
      </w:tr>
      <w:tr w:rsidR="00CA68B4" w:rsidRPr="00CA68B4" w:rsidTr="00FA321B">
        <w:trPr>
          <w:trHeight w:val="168"/>
          <w:tblHeader/>
        </w:trPr>
        <w:tc>
          <w:tcPr>
            <w:tcW w:w="811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24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A68B4" w:rsidRPr="00FA321B" w:rsidRDefault="00CA68B4" w:rsidP="00FA32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A321B">
              <w:rPr>
                <w:b/>
                <w:sz w:val="16"/>
                <w:szCs w:val="16"/>
              </w:rPr>
              <w:t>9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sz w:val="18"/>
                <w:szCs w:val="18"/>
              </w:rPr>
              <w:t>Цель 1:</w:t>
            </w:r>
            <w:r w:rsidRPr="00CA68B4">
              <w:rPr>
                <w:b/>
                <w:color w:val="000000"/>
                <w:sz w:val="18"/>
                <w:szCs w:val="18"/>
              </w:rPr>
              <w:t xml:space="preserve"> оказание мер социальной поддержки отдельным категориям граждан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321B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color w:val="000000"/>
                <w:sz w:val="18"/>
                <w:szCs w:val="18"/>
              </w:rPr>
              <w:t xml:space="preserve">Задача </w:t>
            </w:r>
            <w:r w:rsidRPr="00CA68B4">
              <w:rPr>
                <w:color w:val="000000"/>
                <w:sz w:val="18"/>
                <w:szCs w:val="18"/>
              </w:rPr>
              <w:t xml:space="preserve">1:осуществление выплаты </w:t>
            </w:r>
            <w:r w:rsidRPr="00CA68B4">
              <w:rPr>
                <w:sz w:val="18"/>
                <w:szCs w:val="18"/>
              </w:rPr>
              <w:t>пенсии за выслугу лет муниципальным служащим администрации муниципального образования Кандалакшский район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8B4">
              <w:rPr>
                <w:sz w:val="18"/>
                <w:szCs w:val="18"/>
              </w:rPr>
              <w:t>1.1.1.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муниципальных служащих, получающих пенсию за выслугу лет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8B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71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CA68B4" w:rsidP="00CA68B4">
            <w:pPr>
              <w:ind w:right="20"/>
              <w:jc w:val="center"/>
              <w:rPr>
                <w:b/>
                <w:color w:val="000000"/>
                <w:sz w:val="18"/>
                <w:szCs w:val="18"/>
              </w:rPr>
            </w:pPr>
            <w:r w:rsidRPr="00FA321B">
              <w:rPr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sz w:val="18"/>
                <w:szCs w:val="18"/>
              </w:rPr>
              <w:t>Задача 2:</w:t>
            </w:r>
            <w:r w:rsidRPr="00CA68B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68B4">
              <w:rPr>
                <w:color w:val="000000"/>
                <w:sz w:val="18"/>
                <w:szCs w:val="18"/>
              </w:rPr>
              <w:t>оказание мер социальной поддержки лиц, замещающих муниципальные должности, уволенных на пенсию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лиц, замещающих муниципальные должности, получающих пенсию за выслугу лет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4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FA321B" w:rsidP="00CA68B4">
            <w:pPr>
              <w:ind w:right="20"/>
              <w:jc w:val="center"/>
              <w:rPr>
                <w:b/>
                <w:color w:val="000000"/>
                <w:sz w:val="18"/>
                <w:szCs w:val="18"/>
              </w:rPr>
            </w:pPr>
            <w:r w:rsidRPr="00FA321B">
              <w:rPr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color w:val="000000"/>
                <w:sz w:val="18"/>
                <w:szCs w:val="18"/>
              </w:rPr>
              <w:t>Задача 3:</w:t>
            </w:r>
            <w:r w:rsidRPr="00CA68B4">
              <w:rPr>
                <w:color w:val="000000"/>
                <w:sz w:val="18"/>
                <w:szCs w:val="18"/>
              </w:rPr>
              <w:t>осуществление социальной поддержки граждан, удостоенных звания «Почетный гражданин Кандалакшского района»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граждан, удостоенных звания «Почетный гражданин Кандалакшского района» и получающих социальную поддержку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68B4">
              <w:rPr>
                <w:color w:val="000000"/>
                <w:sz w:val="18"/>
                <w:szCs w:val="18"/>
                <w:lang w:val="en-US"/>
              </w:rPr>
              <w:t>20</w:t>
            </w:r>
          </w:p>
          <w:p w:rsidR="00CA68B4" w:rsidRPr="00CA68B4" w:rsidRDefault="00CA68B4" w:rsidP="00CA68B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CA68B4" w:rsidRPr="00CA68B4" w:rsidRDefault="00CA68B4" w:rsidP="00CA68B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68B4">
              <w:rPr>
                <w:color w:val="000000"/>
                <w:sz w:val="18"/>
                <w:szCs w:val="18"/>
                <w:lang w:val="en-US"/>
              </w:rPr>
              <w:t>20</w:t>
            </w:r>
          </w:p>
          <w:p w:rsidR="00CA68B4" w:rsidRPr="00CA68B4" w:rsidRDefault="00CA68B4" w:rsidP="00CA68B4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CA68B4" w:rsidRPr="00CA68B4" w:rsidRDefault="00CA68B4" w:rsidP="00CA68B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Исполнение принятых обязательств по предоставлению мер социальной поддержки гражданам, удостоенным звания «Почетный гражданин Кандалакшского района»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68B4" w:rsidRPr="00CA68B4" w:rsidTr="00D3512F">
        <w:trPr>
          <w:trHeight w:val="239"/>
        </w:trPr>
        <w:tc>
          <w:tcPr>
            <w:tcW w:w="811" w:type="dxa"/>
          </w:tcPr>
          <w:p w:rsidR="00CA68B4" w:rsidRPr="00FA321B" w:rsidRDefault="00FA321B" w:rsidP="00CA68B4">
            <w:pPr>
              <w:ind w:right="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color w:val="000000"/>
                <w:sz w:val="18"/>
                <w:szCs w:val="18"/>
              </w:rPr>
              <w:t xml:space="preserve">Задача 4: </w:t>
            </w:r>
            <w:r w:rsidRPr="00CA68B4">
              <w:rPr>
                <w:color w:val="000000"/>
                <w:sz w:val="18"/>
                <w:szCs w:val="18"/>
              </w:rPr>
              <w:t>привлечение необходимых специалистов в медицинские учреждения Кандалакшского района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врачей, привлеченных в ГОБУЗ «Кандалакшская ЦРБ»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6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выплат врачам-специалистам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18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FA321B" w:rsidP="00CA68B4">
            <w:pPr>
              <w:ind w:right="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color w:val="000000"/>
                <w:sz w:val="18"/>
                <w:szCs w:val="18"/>
              </w:rPr>
              <w:t>Задача 5:</w:t>
            </w:r>
            <w:r w:rsidRPr="00CA68B4">
              <w:rPr>
                <w:color w:val="000000"/>
                <w:sz w:val="18"/>
                <w:szCs w:val="18"/>
              </w:rPr>
              <w:t xml:space="preserve">  обеспечение получения медицинских услуг населением  в медицинских учреждениях, расположенных за пределами Кандалакшского района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граждан, получивших помощь в виде компенсации оплаты проезда к месту лечения и обратно, по направлению врача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выплат компенсации проезда отдельным категориям граждан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FA321B" w:rsidP="00CA68B4">
            <w:pPr>
              <w:ind w:right="20"/>
              <w:jc w:val="center"/>
              <w:rPr>
                <w:b/>
                <w:color w:val="000000"/>
                <w:sz w:val="18"/>
                <w:szCs w:val="18"/>
              </w:rPr>
            </w:pPr>
            <w:r w:rsidRPr="00FA321B">
              <w:rPr>
                <w:b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color w:val="000000"/>
                <w:sz w:val="18"/>
                <w:szCs w:val="18"/>
              </w:rPr>
              <w:t xml:space="preserve">Задача 6: </w:t>
            </w:r>
            <w:r w:rsidRPr="00CA68B4">
              <w:rPr>
                <w:color w:val="000000"/>
                <w:sz w:val="18"/>
                <w:szCs w:val="18"/>
              </w:rPr>
              <w:t>исполнение отдельных государственных полномочий по осуществлению ежемесячной жилищно-коммунальной выплаты отдельным категориям граждан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1.6.1.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получателей ЕЖКВ из числа специалистов, работающих и проживающих в сельских населенных пунктах или поселках городского типа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20"/>
                <w:szCs w:val="20"/>
              </w:rPr>
            </w:pPr>
            <w:r w:rsidRPr="00CA68B4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1.6.2.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выплата  ЕЖКВ специалистам, работающим и проживающим в сельских населенных пунктах и (или) поселках городского типа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1.6.3.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получателей ЕЖКВ из числа детей-сирот, детей, оставшихся без попечения родителей, лиц, из числа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A68B4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1.6.4.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выплата ЕЖКВ детям-сиротам, детям, оставшимся без попечения родителей, лицам, из числа детей-сирот и детей, оставшихся без попечения родителей.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FA321B" w:rsidP="00CA68B4">
            <w:pPr>
              <w:ind w:right="20"/>
              <w:jc w:val="center"/>
              <w:rPr>
                <w:b/>
                <w:color w:val="000000"/>
                <w:sz w:val="18"/>
                <w:szCs w:val="18"/>
              </w:rPr>
            </w:pPr>
            <w:r w:rsidRPr="00FA321B">
              <w:rPr>
                <w:b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color w:val="000000"/>
                <w:sz w:val="18"/>
                <w:szCs w:val="18"/>
              </w:rPr>
              <w:t>Задача 7</w:t>
            </w:r>
            <w:r w:rsidRPr="00CA68B4">
              <w:rPr>
                <w:color w:val="000000"/>
                <w:sz w:val="18"/>
                <w:szCs w:val="18"/>
              </w:rPr>
              <w:t>: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1.7.1.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Доля приобретенных жилых помещений от общего числа запланированных 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FA321B" w:rsidP="00CA68B4">
            <w:pPr>
              <w:ind w:right="20"/>
              <w:jc w:val="center"/>
              <w:rPr>
                <w:b/>
                <w:color w:val="000000"/>
                <w:sz w:val="18"/>
                <w:szCs w:val="18"/>
              </w:rPr>
            </w:pPr>
            <w:r w:rsidRPr="00FA321B">
              <w:rPr>
                <w:b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rPr>
                <w:color w:val="000000"/>
                <w:sz w:val="18"/>
                <w:szCs w:val="18"/>
              </w:rPr>
            </w:pPr>
            <w:r w:rsidRPr="00CA68B4">
              <w:rPr>
                <w:b/>
                <w:color w:val="000000"/>
                <w:sz w:val="18"/>
                <w:szCs w:val="18"/>
              </w:rPr>
              <w:t>Задача 8</w:t>
            </w:r>
            <w:r w:rsidRPr="00CA68B4">
              <w:rPr>
                <w:color w:val="000000"/>
                <w:sz w:val="18"/>
                <w:szCs w:val="18"/>
              </w:rPr>
              <w:t>: обеспечение социальных гарантий и усиление адресной направленности дополнительных мер социальной поддержки детей-сирот, детей, оставшихся без попечения родителей, и лиц из их числа.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ind w:right="20"/>
              <w:jc w:val="right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1.8.1.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Доля отремонтированных квартир (жилых помещений) лицам из числа детей-сирот и  детей, оставшихся без попечения родителей от общего запланированного количества          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FA321B" w:rsidRDefault="00FA321B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321B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9438" w:type="dxa"/>
            <w:gridSpan w:val="8"/>
          </w:tcPr>
          <w:p w:rsidR="00CA68B4" w:rsidRPr="00CA68B4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68B4">
              <w:rPr>
                <w:b/>
                <w:sz w:val="18"/>
                <w:szCs w:val="18"/>
              </w:rPr>
              <w:t xml:space="preserve">Задача 9: </w:t>
            </w:r>
            <w:r w:rsidRPr="00CA68B4">
              <w:rPr>
                <w:sz w:val="18"/>
                <w:szCs w:val="18"/>
              </w:rPr>
              <w:t>Возмещение расходов по гарантированному перечню услуг по погребению</w:t>
            </w:r>
          </w:p>
        </w:tc>
      </w:tr>
      <w:tr w:rsidR="00CA68B4" w:rsidRPr="00CA68B4" w:rsidTr="00D3512F">
        <w:tc>
          <w:tcPr>
            <w:tcW w:w="811" w:type="dxa"/>
          </w:tcPr>
          <w:p w:rsidR="00CA68B4" w:rsidRPr="00CA68B4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8B4">
              <w:rPr>
                <w:sz w:val="18"/>
                <w:szCs w:val="18"/>
              </w:rPr>
              <w:t>1.9.1.</w:t>
            </w:r>
          </w:p>
        </w:tc>
        <w:tc>
          <w:tcPr>
            <w:tcW w:w="3624" w:type="dxa"/>
          </w:tcPr>
          <w:p w:rsidR="00CA68B4" w:rsidRPr="00CA68B4" w:rsidRDefault="00CA68B4" w:rsidP="00CA68B4">
            <w:pPr>
              <w:ind w:right="20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Количество граждан, на погребение которых произведены компенсационные выплаты</w:t>
            </w:r>
          </w:p>
        </w:tc>
        <w:tc>
          <w:tcPr>
            <w:tcW w:w="708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284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CA68B4" w:rsidRPr="00CA68B4" w:rsidRDefault="00CA68B4" w:rsidP="00CA68B4">
            <w:pPr>
              <w:ind w:right="20"/>
              <w:jc w:val="center"/>
              <w:rPr>
                <w:color w:val="000000"/>
                <w:sz w:val="18"/>
                <w:szCs w:val="18"/>
              </w:rPr>
            </w:pPr>
            <w:r w:rsidRPr="00CA68B4">
              <w:rPr>
                <w:color w:val="000000"/>
                <w:sz w:val="18"/>
                <w:szCs w:val="18"/>
              </w:rPr>
              <w:t>21</w:t>
            </w:r>
          </w:p>
        </w:tc>
      </w:tr>
    </w:tbl>
    <w:p w:rsidR="00FD1BEB" w:rsidRDefault="00FD1BEB" w:rsidP="00FA321B">
      <w:pPr>
        <w:autoSpaceDE w:val="0"/>
        <w:autoSpaceDN w:val="0"/>
        <w:adjustRightInd w:val="0"/>
        <w:jc w:val="both"/>
        <w:rPr>
          <w:color w:val="FF0000"/>
        </w:rPr>
      </w:pPr>
    </w:p>
    <w:p w:rsidR="00E42B7B" w:rsidRDefault="00E42B7B" w:rsidP="0010027A">
      <w:pPr>
        <w:autoSpaceDE w:val="0"/>
        <w:autoSpaceDN w:val="0"/>
        <w:adjustRightInd w:val="0"/>
        <w:ind w:firstLine="709"/>
        <w:jc w:val="both"/>
      </w:pPr>
      <w:r w:rsidRPr="00E42B7B">
        <w:t>Проект программы не содержит расчеты вышеуказанных показателей, не содержит данные относительно которых определены показатели удельного веса, в результате чего проект программы не соответствует требованию измеримости (отсутствует возможность проверки достижения цели), что не соответствует пункту 2.6 Порядка разработки МП</w:t>
      </w:r>
      <w:r>
        <w:t>.</w:t>
      </w:r>
      <w:r w:rsidRPr="00E42B7B">
        <w:t xml:space="preserve"> </w:t>
      </w:r>
      <w:r>
        <w:t xml:space="preserve"> </w:t>
      </w:r>
    </w:p>
    <w:p w:rsidR="0024558B" w:rsidRPr="005608E9" w:rsidRDefault="0024558B" w:rsidP="005608E9">
      <w:pPr>
        <w:autoSpaceDE w:val="0"/>
        <w:autoSpaceDN w:val="0"/>
        <w:adjustRightInd w:val="0"/>
        <w:ind w:firstLine="709"/>
        <w:jc w:val="both"/>
      </w:pPr>
      <w:r w:rsidRPr="0024558B">
        <w:t>Система показателей (индикаторов) в проекте Программы выстроена таким образом, что к каждой задаче муниципальной программы сформирован как минимум один индикатор, характеризующий ее решение (пункт 9 Методических рекомендаций Минфина</w:t>
      </w:r>
      <w:r w:rsidR="005608E9">
        <w:t xml:space="preserve"> </w:t>
      </w:r>
      <w:r w:rsidRPr="0024558B">
        <w:lastRenderedPageBreak/>
        <w:t>России от 30.09.2014 № 09-05-05/48843</w:t>
      </w:r>
      <w:r w:rsidRPr="00627543">
        <w:t xml:space="preserve">, </w:t>
      </w:r>
      <w:r w:rsidR="00F63F78" w:rsidRPr="00627543">
        <w:t>ч.2 Приложения № 2 к Порядку от 21.10.2013 № 2209</w:t>
      </w:r>
      <w:r w:rsidRPr="00627543">
        <w:t>), и которых недостаточно для опред</w:t>
      </w:r>
      <w:r w:rsidRPr="0024558B">
        <w:t>еления оценки ее эффективности</w:t>
      </w:r>
      <w:r w:rsidR="007B52AB">
        <w:rPr>
          <w:i/>
        </w:rPr>
        <w:t>:</w:t>
      </w:r>
      <w:r w:rsidRPr="0024558B">
        <w:rPr>
          <w:i/>
        </w:rPr>
        <w:t xml:space="preserve"> </w:t>
      </w:r>
    </w:p>
    <w:p w:rsidR="00041190" w:rsidRPr="00041190" w:rsidRDefault="00A26F2E" w:rsidP="0004119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</w:pPr>
      <w:r>
        <w:t>На выполнение задачи</w:t>
      </w:r>
      <w:r w:rsidR="00743FCA">
        <w:t xml:space="preserve"> 5 «</w:t>
      </w:r>
      <w:r w:rsidR="005C7EDB">
        <w:t xml:space="preserve">обеспечение получения медицинских услуг населением в медицинских учреждениях, расположенных за пределами Кандалакшского района» предполагается в целях осуществления 800 выплат </w:t>
      </w:r>
      <w:r w:rsidR="003450D7">
        <w:t xml:space="preserve">по </w:t>
      </w:r>
      <w:r w:rsidR="005C7EDB">
        <w:t xml:space="preserve">компенсации проезда отдельным категориям граждан произвести выплаты 800 гражданам. </w:t>
      </w:r>
      <w:r w:rsidR="003450D7">
        <w:t xml:space="preserve">Эти показатели </w:t>
      </w:r>
      <w:r w:rsidR="00BC366F">
        <w:t>идентичны</w:t>
      </w:r>
      <w:r w:rsidR="001A6356">
        <w:t xml:space="preserve"> друг с другом</w:t>
      </w:r>
      <w:r>
        <w:t xml:space="preserve">, и никак не отражают </w:t>
      </w:r>
      <w:r w:rsidR="00E869F5" w:rsidRPr="00436B54">
        <w:rPr>
          <w:rFonts w:eastAsia="Calibri"/>
          <w:lang w:eastAsia="en-US"/>
        </w:rPr>
        <w:t>п</w:t>
      </w:r>
      <w:r w:rsidR="00E869F5">
        <w:rPr>
          <w:rFonts w:eastAsia="Calibri"/>
          <w:lang w:eastAsia="en-US"/>
        </w:rPr>
        <w:t>овышение доступности</w:t>
      </w:r>
      <w:r w:rsidR="00E869F5" w:rsidRPr="001A6356">
        <w:t xml:space="preserve"> </w:t>
      </w:r>
      <w:r w:rsidR="00E869F5">
        <w:t xml:space="preserve">и </w:t>
      </w:r>
      <w:r w:rsidR="00E869F5" w:rsidRPr="001A6356">
        <w:rPr>
          <w:rFonts w:eastAsia="Calibri"/>
          <w:lang w:eastAsia="en-US"/>
        </w:rPr>
        <w:t xml:space="preserve">результативности мер </w:t>
      </w:r>
      <w:r w:rsidR="00E869F5">
        <w:rPr>
          <w:rFonts w:eastAsia="Calibri"/>
          <w:lang w:eastAsia="en-US"/>
        </w:rPr>
        <w:t>социальной</w:t>
      </w:r>
      <w:r w:rsidR="00E869F5" w:rsidRPr="00436B54">
        <w:rPr>
          <w:rFonts w:eastAsia="Calibri"/>
          <w:lang w:eastAsia="en-US"/>
        </w:rPr>
        <w:t xml:space="preserve"> </w:t>
      </w:r>
      <w:r w:rsidR="00E869F5">
        <w:rPr>
          <w:rFonts w:eastAsia="Calibri"/>
          <w:lang w:eastAsia="en-US"/>
        </w:rPr>
        <w:t xml:space="preserve">поддержки </w:t>
      </w:r>
      <w:r w:rsidR="00E869F5" w:rsidRPr="00436B54">
        <w:rPr>
          <w:rFonts w:eastAsia="Calibri"/>
          <w:lang w:eastAsia="en-US"/>
        </w:rPr>
        <w:t>населения и создание условий для роста благосостояния граждан</w:t>
      </w:r>
      <w:r w:rsidR="00E869F5">
        <w:rPr>
          <w:rFonts w:eastAsia="Calibri"/>
          <w:lang w:eastAsia="en-US"/>
        </w:rPr>
        <w:t>.</w:t>
      </w:r>
    </w:p>
    <w:p w:rsidR="00041190" w:rsidRPr="00041190" w:rsidRDefault="00041190" w:rsidP="00041190">
      <w:pPr>
        <w:autoSpaceDE w:val="0"/>
        <w:autoSpaceDN w:val="0"/>
        <w:adjustRightInd w:val="0"/>
        <w:ind w:firstLine="709"/>
        <w:jc w:val="both"/>
      </w:pPr>
      <w:r w:rsidRPr="00041190">
        <w:t>Показатель (индикатор</w:t>
      </w:r>
      <w:r>
        <w:t xml:space="preserve">) результативности Мероприятия 5 «Возмещение расходов по проезду в медицинские учреждения Мурманской области» </w:t>
      </w:r>
      <w:r w:rsidRPr="00041190">
        <w:t>-</w:t>
      </w:r>
      <w:r>
        <w:t xml:space="preserve"> </w:t>
      </w:r>
      <w:r w:rsidRPr="00041190">
        <w:t xml:space="preserve">«Количество  </w:t>
      </w:r>
      <w:r>
        <w:t xml:space="preserve"> выплат по компенсации проезда отдельным категориям граждан» </w:t>
      </w:r>
      <w:r w:rsidR="00BC366F">
        <w:t xml:space="preserve">не является элементом </w:t>
      </w:r>
      <w:r w:rsidRPr="00041190">
        <w:t>контроля</w:t>
      </w:r>
      <w:r>
        <w:t xml:space="preserve"> реализации программы.</w:t>
      </w:r>
    </w:p>
    <w:p w:rsidR="00BC366F" w:rsidRDefault="00BC366F" w:rsidP="00BC366F">
      <w:pPr>
        <w:autoSpaceDE w:val="0"/>
        <w:autoSpaceDN w:val="0"/>
        <w:adjustRightInd w:val="0"/>
        <w:ind w:firstLine="709"/>
        <w:jc w:val="both"/>
      </w:pPr>
      <w:r>
        <w:t xml:space="preserve">По мнению КСО, </w:t>
      </w:r>
      <w:r w:rsidRPr="00AC4CA7">
        <w:rPr>
          <w:b/>
        </w:rPr>
        <w:t>необходимо рассчитать следующий показатель</w:t>
      </w:r>
      <w:r>
        <w:t>: доля граждан, которым предоставлены меры социальной поддержки, от общего количества граждан, обратившихся за компенсацией.</w:t>
      </w:r>
      <w:r w:rsidRPr="001A6356">
        <w:t xml:space="preserve"> </w:t>
      </w:r>
      <w:r>
        <w:t xml:space="preserve">Данный показатель мог бы повлиять на </w:t>
      </w:r>
      <w:r w:rsidRPr="00A64973">
        <w:t>повышение результативности мер социальной поддержки</w:t>
      </w:r>
      <w:r>
        <w:t xml:space="preserve"> исходя из потребности в указанной компенсации и финансовых возможностей</w:t>
      </w:r>
      <w:r w:rsidRPr="004F5260">
        <w:t xml:space="preserve"> бюджета.</w:t>
      </w:r>
    </w:p>
    <w:p w:rsidR="00DB0C12" w:rsidRDefault="00DB0C12" w:rsidP="00E42B7B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</w:pPr>
      <w:r>
        <w:t>По задаче 7 «</w:t>
      </w:r>
      <w:r w:rsidRPr="00DB0C12">
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</w:t>
      </w:r>
      <w:r>
        <w:t xml:space="preserve"> закрепленного жилого помещения»</w:t>
      </w:r>
      <w:r w:rsidR="00601D5A">
        <w:t xml:space="preserve"> </w:t>
      </w:r>
      <w:r w:rsidR="00601D5A" w:rsidRPr="00A26F2E">
        <w:rPr>
          <w:b/>
        </w:rPr>
        <w:t>вместо показателя</w:t>
      </w:r>
      <w:r w:rsidR="00601D5A">
        <w:t xml:space="preserve"> «доля приобретенных жилых помещений от общего числа запланированных» </w:t>
      </w:r>
      <w:r w:rsidR="00BF1714" w:rsidRPr="003E2E85">
        <w:rPr>
          <w:b/>
        </w:rPr>
        <w:t>целесообразнее</w:t>
      </w:r>
      <w:r w:rsidR="00BF1714">
        <w:t xml:space="preserve"> </w:t>
      </w:r>
      <w:r w:rsidR="00601D5A" w:rsidRPr="00A26F2E">
        <w:rPr>
          <w:b/>
        </w:rPr>
        <w:t>применить показатель</w:t>
      </w:r>
      <w:r w:rsidR="00601D5A">
        <w:t xml:space="preserve"> </w:t>
      </w:r>
      <w:r w:rsidR="00601D5A" w:rsidRPr="0029359E">
        <w:rPr>
          <w:b/>
        </w:rPr>
        <w:t>«доля детей-сирот и детей,</w:t>
      </w:r>
      <w:r w:rsidR="00601D5A" w:rsidRPr="00601D5A">
        <w:t xml:space="preserve"> оставшихся без попечения родителей, и лиц из их числа, </w:t>
      </w:r>
      <w:r w:rsidR="00601D5A" w:rsidRPr="0029359E">
        <w:rPr>
          <w:b/>
        </w:rPr>
        <w:t>состоявших на учет</w:t>
      </w:r>
      <w:r w:rsidR="0029359E" w:rsidRPr="0029359E">
        <w:rPr>
          <w:b/>
        </w:rPr>
        <w:t>е на получение жилого помещения</w:t>
      </w:r>
      <w:r w:rsidR="00601D5A">
        <w:t>,</w:t>
      </w:r>
      <w:r w:rsidR="00601D5A" w:rsidRPr="00601D5A">
        <w:t xml:space="preserve"> обеспеченных жилыми помещениями за отчетный год, </w:t>
      </w:r>
      <w:r w:rsidR="00601D5A" w:rsidRPr="0029359E">
        <w:rPr>
          <w:b/>
        </w:rPr>
        <w:t>в общей численности детей-сирот и детей</w:t>
      </w:r>
      <w:r w:rsidR="00601D5A" w:rsidRPr="00601D5A">
        <w:t xml:space="preserve">, оставшихся без попечения родителей, и лиц из их числа, </w:t>
      </w:r>
      <w:r w:rsidR="00601D5A" w:rsidRPr="0029359E">
        <w:rPr>
          <w:b/>
        </w:rPr>
        <w:t>состоящих на учете на получение жилого помещения</w:t>
      </w:r>
      <w:r w:rsidR="00601D5A">
        <w:t xml:space="preserve">». </w:t>
      </w:r>
      <w:r w:rsidR="00601D5A" w:rsidRPr="00601D5A">
        <w:t xml:space="preserve"> </w:t>
      </w:r>
    </w:p>
    <w:p w:rsidR="00E869F5" w:rsidRDefault="00A26F2E" w:rsidP="00E869F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</w:pPr>
      <w:r>
        <w:t xml:space="preserve">На </w:t>
      </w:r>
      <w:r w:rsidR="00E869F5">
        <w:t>выполнение задачи 9 «</w:t>
      </w:r>
      <w:r w:rsidR="00E869F5" w:rsidRPr="00E869F5">
        <w:t>Возмещение расхо</w:t>
      </w:r>
      <w:r w:rsidR="00E869F5">
        <w:t xml:space="preserve">дов по гарантированному перечню </w:t>
      </w:r>
      <w:r w:rsidR="00E869F5" w:rsidRPr="00E869F5">
        <w:t>услуг по погребению</w:t>
      </w:r>
      <w:r w:rsidR="00E869F5">
        <w:t>» предполагается в каждом году реализации программы расходовать по 122,3 тыс. руб. на погребение 21 чел</w:t>
      </w:r>
      <w:r w:rsidR="000776E8">
        <w:t>овека</w:t>
      </w:r>
      <w:r w:rsidR="00E869F5">
        <w:t xml:space="preserve">. </w:t>
      </w:r>
    </w:p>
    <w:p w:rsidR="000776E8" w:rsidRDefault="00E869F5" w:rsidP="000776E8">
      <w:pPr>
        <w:autoSpaceDE w:val="0"/>
        <w:autoSpaceDN w:val="0"/>
        <w:adjustRightInd w:val="0"/>
        <w:ind w:firstLine="709"/>
        <w:jc w:val="both"/>
      </w:pPr>
      <w:r>
        <w:t xml:space="preserve">Исходя из </w:t>
      </w:r>
      <w:r w:rsidR="00AC4CA7">
        <w:t>стоимости услуг, предоставляемых</w:t>
      </w:r>
      <w:r>
        <w:t xml:space="preserve"> согласно гарантированному перечню услуг по погребению, </w:t>
      </w:r>
      <w:r w:rsidR="00AC4CA7">
        <w:t xml:space="preserve">и </w:t>
      </w:r>
      <w:r>
        <w:t>возмещаемых специализированной службе</w:t>
      </w:r>
      <w:r w:rsidR="00AC4CA7">
        <w:t xml:space="preserve"> по вопросам похоронного дела</w:t>
      </w:r>
      <w:r>
        <w:t xml:space="preserve">, в размере 8 445,33 руб. </w:t>
      </w:r>
      <w:r w:rsidR="0065183E">
        <w:t xml:space="preserve">с 01.06.2020 </w:t>
      </w:r>
      <w:r>
        <w:t>(постановление администрации м.о. Кандалакшский район от 05.10.2020 № 1239 «О внесении изменений в постановление администрации м.о. Кандалакшский район от 20.02.2020 № 257 «Об утверждении стоимости услуг по погребению»)</w:t>
      </w:r>
      <w:r w:rsidR="000776E8">
        <w:t xml:space="preserve"> н</w:t>
      </w:r>
      <w:r>
        <w:t xml:space="preserve">а погребение 21 чел. потребовалась бы ежегодно сумма 177,4 тыс. </w:t>
      </w:r>
      <w:r w:rsidR="000776E8">
        <w:t xml:space="preserve">рублей. </w:t>
      </w:r>
    </w:p>
    <w:p w:rsidR="00E869F5" w:rsidRDefault="0065183E" w:rsidP="000776E8">
      <w:pPr>
        <w:autoSpaceDE w:val="0"/>
        <w:autoSpaceDN w:val="0"/>
        <w:adjustRightInd w:val="0"/>
        <w:ind w:firstLine="709"/>
        <w:jc w:val="both"/>
      </w:pPr>
      <w:r>
        <w:t>З</w:t>
      </w:r>
      <w:r w:rsidR="000776E8">
        <w:t>апланированных 122,3 тыс. руб.</w:t>
      </w:r>
      <w:r>
        <w:t xml:space="preserve"> </w:t>
      </w:r>
      <w:r w:rsidR="000776E8">
        <w:t>хватит чтобы захоронить только 14 человек.</w:t>
      </w:r>
    </w:p>
    <w:p w:rsidR="000776E8" w:rsidRDefault="000776E8" w:rsidP="000776E8">
      <w:pPr>
        <w:autoSpaceDE w:val="0"/>
        <w:autoSpaceDN w:val="0"/>
        <w:adjustRightInd w:val="0"/>
        <w:ind w:firstLine="709"/>
        <w:jc w:val="both"/>
      </w:pPr>
      <w:r>
        <w:t>Следовательно, разработчику необходимо внести</w:t>
      </w:r>
      <w:r w:rsidR="0065183E">
        <w:t xml:space="preserve"> коррективы в данный показатель </w:t>
      </w:r>
      <w:r w:rsidR="00B95687">
        <w:t xml:space="preserve">в зависимости от предоставленной субвенции из областного бюджета.   </w:t>
      </w:r>
    </w:p>
    <w:p w:rsidR="009C06A8" w:rsidRDefault="00314897" w:rsidP="009C06A8">
      <w:pPr>
        <w:autoSpaceDE w:val="0"/>
        <w:autoSpaceDN w:val="0"/>
        <w:adjustRightInd w:val="0"/>
        <w:ind w:firstLine="709"/>
        <w:jc w:val="both"/>
      </w:pPr>
      <w:r>
        <w:t xml:space="preserve">Поскольку возмещение стоимости услуг по погребению производится специализированной службе по вопросам похоронного дела, </w:t>
      </w:r>
      <w:r w:rsidRPr="00AC4CA7">
        <w:rPr>
          <w:b/>
        </w:rPr>
        <w:t xml:space="preserve">показатель </w:t>
      </w:r>
      <w:r>
        <w:t>«к</w:t>
      </w:r>
      <w:r w:rsidRPr="00314897">
        <w:t>оличество граждан, на погребение которых произведены компенсационные выплаты</w:t>
      </w:r>
      <w:r>
        <w:t xml:space="preserve">» </w:t>
      </w:r>
      <w:r w:rsidR="006F0084">
        <w:rPr>
          <w:b/>
        </w:rPr>
        <w:t xml:space="preserve">целесообразнее </w:t>
      </w:r>
      <w:r w:rsidRPr="00AC4CA7">
        <w:rPr>
          <w:b/>
        </w:rPr>
        <w:t xml:space="preserve">заменить на показатель </w:t>
      </w:r>
      <w:r>
        <w:t xml:space="preserve">«количество выплат на возмещение стоимости услуг по погребению умерших». </w:t>
      </w:r>
    </w:p>
    <w:p w:rsidR="00397B9C" w:rsidRDefault="00397B9C" w:rsidP="004E1AB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</w:pPr>
      <w:r w:rsidRPr="00397B9C">
        <w:t>Показател</w:t>
      </w:r>
      <w:r w:rsidR="00711ADF">
        <w:t>ь</w:t>
      </w:r>
      <w:r w:rsidRPr="00397B9C">
        <w:t xml:space="preserve"> (индикат</w:t>
      </w:r>
      <w:r w:rsidR="00711ADF">
        <w:t xml:space="preserve">ор) результативности </w:t>
      </w:r>
      <w:r w:rsidR="00B11C98">
        <w:t xml:space="preserve">показателя </w:t>
      </w:r>
      <w:r w:rsidR="00711ADF">
        <w:t xml:space="preserve">1.3.2 </w:t>
      </w:r>
      <w:r w:rsidRPr="00397B9C">
        <w:t>«</w:t>
      </w:r>
      <w:r w:rsidR="004E1ABA" w:rsidRPr="004E1ABA">
        <w:t>Исполнение принятых обязательств по предоставлению мер социальной поддержки гражданам, удостоенным звания «Почетный гражданин Кандалакшского района» –</w:t>
      </w:r>
      <w:r w:rsidR="004E1ABA">
        <w:t xml:space="preserve"> процент выполнения мероприятий </w:t>
      </w:r>
      <w:r w:rsidRPr="00397B9C">
        <w:t>100 %» не является элементом контроля реализации</w:t>
      </w:r>
      <w:r>
        <w:t xml:space="preserve"> программы</w:t>
      </w:r>
      <w:r w:rsidRPr="00397B9C">
        <w:t>, так к</w:t>
      </w:r>
      <w:r w:rsidR="00B11C98">
        <w:t xml:space="preserve">ак не согласован с показателями </w:t>
      </w:r>
      <w:r w:rsidR="00711ADF">
        <w:t>1.3.1</w:t>
      </w:r>
      <w:r w:rsidRPr="00397B9C">
        <w:t xml:space="preserve"> «Количество </w:t>
      </w:r>
      <w:r w:rsidR="00711ADF">
        <w:t>граждан, удостоенных звания «Почетный гражданин Кандалакшского района</w:t>
      </w:r>
      <w:r w:rsidRPr="00397B9C">
        <w:t>»</w:t>
      </w:r>
      <w:r w:rsidR="00711ADF">
        <w:t>, и получающих социальную поддержку</w:t>
      </w:r>
      <w:r w:rsidR="00A37C43">
        <w:t xml:space="preserve">» </w:t>
      </w:r>
      <w:r w:rsidR="00C617E5" w:rsidRPr="00C617E5">
        <w:t>–</w:t>
      </w:r>
      <w:r w:rsidR="00A37C43">
        <w:t xml:space="preserve"> 20 человек</w:t>
      </w:r>
      <w:r w:rsidR="00711ADF">
        <w:t>.</w:t>
      </w:r>
    </w:p>
    <w:p w:rsidR="00A37C43" w:rsidRDefault="00711ADF" w:rsidP="008C2C9A">
      <w:pPr>
        <w:autoSpaceDE w:val="0"/>
        <w:autoSpaceDN w:val="0"/>
        <w:adjustRightInd w:val="0"/>
        <w:ind w:firstLine="709"/>
        <w:jc w:val="both"/>
      </w:pPr>
      <w:r>
        <w:t>По мероприятию</w:t>
      </w:r>
      <w:r w:rsidR="00B46A02">
        <w:t xml:space="preserve"> 3</w:t>
      </w:r>
      <w:r>
        <w:t xml:space="preserve"> </w:t>
      </w:r>
      <w:r w:rsidR="00B46A02">
        <w:t xml:space="preserve">«Оказание мер социальной поддержки граждан, удостоенных звания «Почетный гражданин Кандалакшского района» </w:t>
      </w:r>
      <w:r w:rsidR="00A37C43">
        <w:t xml:space="preserve">выплаты производятся по 5 видам </w:t>
      </w:r>
      <w:r w:rsidR="00A37C43">
        <w:lastRenderedPageBreak/>
        <w:t>социальной поддержки: материальная помощь на пр</w:t>
      </w:r>
      <w:r w:rsidR="00B46A02">
        <w:t xml:space="preserve">оезд в общественном транспорте в размере 500 руб.; </w:t>
      </w:r>
      <w:r w:rsidR="00A37C43">
        <w:t xml:space="preserve">материальная помощь </w:t>
      </w:r>
      <w:r w:rsidR="00B46A02">
        <w:t xml:space="preserve">на санаторно-курортное лечение </w:t>
      </w:r>
      <w:r w:rsidR="00B46A02" w:rsidRPr="00B46A02">
        <w:t>при предъявлении путевки, но не более 3 минимальных размеро</w:t>
      </w:r>
      <w:r w:rsidR="00B46A02">
        <w:t>в оплаты труда - один раз в год;</w:t>
      </w:r>
      <w:r w:rsidR="008C2C9A">
        <w:t xml:space="preserve"> </w:t>
      </w:r>
      <w:r w:rsidR="00B46A02">
        <w:t>ежемесячная</w:t>
      </w:r>
      <w:r w:rsidR="00A37C43">
        <w:t xml:space="preserve"> денежная выплата</w:t>
      </w:r>
      <w:r w:rsidR="00B46A02">
        <w:t xml:space="preserve"> в размере 1 000 руб.;</w:t>
      </w:r>
      <w:r w:rsidR="008C2C9A">
        <w:t xml:space="preserve"> </w:t>
      </w:r>
      <w:r w:rsidR="00A37C43">
        <w:t>чествование к ю</w:t>
      </w:r>
      <w:r w:rsidR="008C2C9A">
        <w:t>билейным датам (50, 55 и т.д</w:t>
      </w:r>
      <w:r w:rsidR="00B46A02">
        <w:t>.) в размере 5 000 руб.;</w:t>
      </w:r>
      <w:r w:rsidR="008C2C9A">
        <w:t xml:space="preserve"> </w:t>
      </w:r>
      <w:r w:rsidR="00A37C43">
        <w:t>материальная помощь на погребение</w:t>
      </w:r>
      <w:r w:rsidR="00B46A02">
        <w:t xml:space="preserve"> 10 000,00 рублей</w:t>
      </w:r>
      <w:r w:rsidR="00A37C43">
        <w:t>.</w:t>
      </w:r>
    </w:p>
    <w:p w:rsidR="004E1ABA" w:rsidRDefault="00B11C98" w:rsidP="00B11C98">
      <w:pPr>
        <w:autoSpaceDE w:val="0"/>
        <w:autoSpaceDN w:val="0"/>
        <w:adjustRightInd w:val="0"/>
        <w:ind w:firstLine="709"/>
        <w:jc w:val="both"/>
      </w:pPr>
      <w:r>
        <w:t>Исходя из видов социальной поддержки,</w:t>
      </w:r>
      <w:r w:rsidR="008C2C9A">
        <w:t xml:space="preserve"> н</w:t>
      </w:r>
      <w:r w:rsidR="00A37C43">
        <w:t xml:space="preserve">е все граждане могут получать </w:t>
      </w:r>
      <w:r>
        <w:t>указанные выплаты, а проект П</w:t>
      </w:r>
      <w:r w:rsidR="004E1ABA">
        <w:t>рограммы</w:t>
      </w:r>
      <w:r w:rsidR="004E1ABA" w:rsidRPr="004E1ABA">
        <w:t xml:space="preserve"> </w:t>
      </w:r>
      <w:r w:rsidR="004E1ABA">
        <w:t xml:space="preserve">не содержит расчеты, подтверждающие потребность в бюджетных средствах в </w:t>
      </w:r>
      <w:r w:rsidR="004E1ABA" w:rsidRPr="004E1ABA">
        <w:t>заявленных объ</w:t>
      </w:r>
      <w:r w:rsidR="004E1ABA">
        <w:t>емах на финансовое обеспечение мероприятия 3.</w:t>
      </w:r>
    </w:p>
    <w:p w:rsidR="00B11C98" w:rsidRDefault="00B11C98" w:rsidP="009C06A8">
      <w:pPr>
        <w:autoSpaceDE w:val="0"/>
        <w:autoSpaceDN w:val="0"/>
        <w:adjustRightInd w:val="0"/>
        <w:ind w:firstLine="709"/>
        <w:jc w:val="both"/>
      </w:pPr>
    </w:p>
    <w:p w:rsidR="009612E4" w:rsidRDefault="00BC366F" w:rsidP="009C06A8">
      <w:pPr>
        <w:autoSpaceDE w:val="0"/>
        <w:autoSpaceDN w:val="0"/>
        <w:adjustRightInd w:val="0"/>
        <w:ind w:firstLine="709"/>
        <w:jc w:val="both"/>
      </w:pPr>
      <w:r w:rsidRPr="00BC366F">
        <w:t xml:space="preserve">В результате </w:t>
      </w:r>
      <w:r>
        <w:t xml:space="preserve">вышесказанного, </w:t>
      </w:r>
      <w:r w:rsidRPr="00BC366F">
        <w:t>система основных мероприятий с установленными показателями (индикаторами) результативности не обеспечивает достижение целевых индикаторов</w:t>
      </w:r>
      <w:r w:rsidR="009612E4">
        <w:t xml:space="preserve"> </w:t>
      </w:r>
      <w:r w:rsidR="009612E4" w:rsidRPr="009612E4">
        <w:t xml:space="preserve">в целях мониторинга </w:t>
      </w:r>
      <w:r w:rsidR="009612E4">
        <w:t>реализации основных мероприятий</w:t>
      </w:r>
      <w:r w:rsidRPr="00BC366F">
        <w:t>, что не соответствует пункту 2.2 Порядка разработки МП</w:t>
      </w:r>
      <w:r w:rsidR="009612E4">
        <w:t>.</w:t>
      </w:r>
    </w:p>
    <w:p w:rsidR="008C2C9A" w:rsidRDefault="009C06A8" w:rsidP="008C2C9A">
      <w:pPr>
        <w:autoSpaceDE w:val="0"/>
        <w:autoSpaceDN w:val="0"/>
        <w:adjustRightInd w:val="0"/>
        <w:ind w:firstLine="709"/>
        <w:jc w:val="both"/>
      </w:pPr>
      <w:r w:rsidRPr="009C111C">
        <w:t>По всем предлагаемым показателям в проекте Программы отсутствуют сведения об источниках информа</w:t>
      </w:r>
      <w:r w:rsidR="008C2C9A" w:rsidRPr="009C111C">
        <w:t>ции и методике расчета значений</w:t>
      </w:r>
      <w:r w:rsidR="00BE59AC" w:rsidRPr="009C111C">
        <w:t>.</w:t>
      </w:r>
      <w:r w:rsidR="008C2C9A" w:rsidRPr="008C2C9A">
        <w:t xml:space="preserve"> </w:t>
      </w:r>
      <w:r w:rsidR="00BE59AC">
        <w:t xml:space="preserve"> </w:t>
      </w:r>
    </w:p>
    <w:p w:rsidR="00481B82" w:rsidRPr="00481B82" w:rsidRDefault="00481B82" w:rsidP="008C2C9A">
      <w:pPr>
        <w:autoSpaceDE w:val="0"/>
        <w:autoSpaceDN w:val="0"/>
        <w:adjustRightInd w:val="0"/>
        <w:ind w:firstLine="709"/>
        <w:jc w:val="both"/>
      </w:pPr>
      <w:r w:rsidRPr="00481B82">
        <w:t>Все предлагаемые</w:t>
      </w:r>
      <w:r>
        <w:t xml:space="preserve"> </w:t>
      </w:r>
      <w:r w:rsidR="003E439D" w:rsidRPr="003E439D">
        <w:t>плановые значения целевых индикаторов</w:t>
      </w:r>
      <w:r w:rsidRPr="003E439D">
        <w:t xml:space="preserve"> </w:t>
      </w:r>
      <w:r w:rsidR="003E439D" w:rsidRPr="003E439D">
        <w:t>не являются отражением эффективности реализации программы, так как не имеют положительной динамики</w:t>
      </w:r>
      <w:r w:rsidR="003E439D">
        <w:t>.</w:t>
      </w:r>
    </w:p>
    <w:p w:rsidR="009E3B8F" w:rsidRDefault="009E3B8F" w:rsidP="00481B82">
      <w:pPr>
        <w:autoSpaceDE w:val="0"/>
        <w:autoSpaceDN w:val="0"/>
        <w:adjustRightInd w:val="0"/>
        <w:ind w:firstLine="708"/>
        <w:jc w:val="both"/>
      </w:pPr>
      <w:r w:rsidRPr="009E3B8F">
        <w:t>В число используемых показателей (индик</w:t>
      </w:r>
      <w:r w:rsidR="006E0BC7">
        <w:t xml:space="preserve">аторов) целесообразно включать: </w:t>
      </w:r>
      <w:r w:rsidRPr="009E3B8F">
        <w:t>показатели (индикаторы) государственных программ субъектов Российской Федерации, реализуемых в соответствующей сфере деятельности, предусмотренные для муниципальных образований (основание Методические рекомендации Минфина России).</w:t>
      </w:r>
    </w:p>
    <w:p w:rsidR="00365CB4" w:rsidRDefault="00365CB4" w:rsidP="00481B82">
      <w:pPr>
        <w:autoSpaceDE w:val="0"/>
        <w:autoSpaceDN w:val="0"/>
        <w:adjustRightInd w:val="0"/>
        <w:ind w:firstLine="708"/>
        <w:jc w:val="both"/>
      </w:pPr>
    </w:p>
    <w:p w:rsidR="00481B82" w:rsidRDefault="00481B82" w:rsidP="00481B82">
      <w:pPr>
        <w:autoSpaceDE w:val="0"/>
        <w:autoSpaceDN w:val="0"/>
        <w:adjustRightInd w:val="0"/>
        <w:ind w:firstLine="708"/>
        <w:jc w:val="both"/>
      </w:pPr>
      <w:r w:rsidRPr="00481B82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F275A2" w:rsidRDefault="00F275A2" w:rsidP="00F275A2">
      <w:pPr>
        <w:autoSpaceDE w:val="0"/>
        <w:autoSpaceDN w:val="0"/>
        <w:adjustRightInd w:val="0"/>
        <w:ind w:firstLine="708"/>
        <w:jc w:val="both"/>
      </w:pPr>
      <w:r>
        <w:t>В силу пункта 2.6. Порядка разработки МП муниципальная программа должна обладать системой абсолютных и относительных показателей для измерения результатов реализации муниципальной программы, то есть описанием поддающихся количественной оценке ожидаемых результатов реализации, включая как непосредственные результаты, так и конечные результаты.</w:t>
      </w:r>
    </w:p>
    <w:p w:rsidR="00F275A2" w:rsidRDefault="00F275A2" w:rsidP="00F275A2">
      <w:pPr>
        <w:autoSpaceDE w:val="0"/>
        <w:autoSpaceDN w:val="0"/>
        <w:adjustRightInd w:val="0"/>
        <w:ind w:firstLine="708"/>
        <w:jc w:val="both"/>
      </w:pPr>
      <w:r>
        <w:t>Однако, оценить планируемую эффективность реализации Программы не представляется возможным, так как при разработке Программы не определены достоверные источники информации и методика расчета показателей (индикаторов) муниципальной п</w:t>
      </w:r>
      <w:r w:rsidR="00A37377">
        <w:t>рограммы</w:t>
      </w:r>
      <w:r>
        <w:t>.</w:t>
      </w:r>
    </w:p>
    <w:p w:rsidR="00297800" w:rsidRDefault="00297800" w:rsidP="00F275A2">
      <w:pPr>
        <w:autoSpaceDE w:val="0"/>
        <w:autoSpaceDN w:val="0"/>
        <w:adjustRightInd w:val="0"/>
        <w:ind w:firstLine="708"/>
        <w:jc w:val="both"/>
      </w:pPr>
      <w:r>
        <w:t>В проекте Пр</w:t>
      </w:r>
      <w:r w:rsidR="00A35A0D">
        <w:t>ограммы не нашли отражения</w:t>
      </w:r>
      <w:r>
        <w:t xml:space="preserve"> ри</w:t>
      </w:r>
      <w:r w:rsidR="00A35A0D">
        <w:t>ски</w:t>
      </w:r>
      <w:r>
        <w:t xml:space="preserve"> ее реализации</w:t>
      </w:r>
      <w:r w:rsidR="00A35A0D">
        <w:t xml:space="preserve"> и меры по управлению рисками</w:t>
      </w:r>
      <w:r>
        <w:t xml:space="preserve">. </w:t>
      </w:r>
      <w:r w:rsidRPr="00297800">
        <w:t xml:space="preserve">Значительным риском </w:t>
      </w:r>
      <w:r>
        <w:t xml:space="preserve">могут </w:t>
      </w:r>
      <w:r w:rsidRPr="00297800">
        <w:t>является сокращение запланированных объемов финансирования (за счет средств районного бюджета и других источников) в ходе формирования и реализации муниципальной программы, что может повлечь за собой корректировку целевых значений показателей и необходимость внесения изменений в перечень реализуемых основных мероприятий.</w:t>
      </w:r>
    </w:p>
    <w:p w:rsidR="00297800" w:rsidRDefault="00297800" w:rsidP="00F275A2">
      <w:pPr>
        <w:autoSpaceDE w:val="0"/>
        <w:autoSpaceDN w:val="0"/>
        <w:adjustRightInd w:val="0"/>
        <w:ind w:firstLine="708"/>
        <w:jc w:val="both"/>
      </w:pPr>
      <w:r w:rsidRPr="00297800">
        <w:t>Повышение уровня инфляции может привести к изменению цен на рынке услуг, что в свою очередь существенно повлияет на запланированный к приобретению в рамках муниципальной программы объем таких услуг</w:t>
      </w:r>
      <w:r w:rsidR="00A35A0D">
        <w:t xml:space="preserve"> (оплата проезда, погребение умерших)</w:t>
      </w:r>
      <w:r w:rsidRPr="00297800">
        <w:t>.</w:t>
      </w:r>
    </w:p>
    <w:p w:rsidR="0024183E" w:rsidRPr="006E0BC7" w:rsidRDefault="0024183E" w:rsidP="006E0BC7">
      <w:pPr>
        <w:autoSpaceDE w:val="0"/>
        <w:autoSpaceDN w:val="0"/>
        <w:adjustRightInd w:val="0"/>
        <w:jc w:val="both"/>
      </w:pPr>
    </w:p>
    <w:p w:rsidR="00E161C3" w:rsidRPr="0002337F" w:rsidRDefault="00E161C3" w:rsidP="00E161C3">
      <w:pPr>
        <w:jc w:val="center"/>
        <w:rPr>
          <w:b/>
        </w:rPr>
      </w:pPr>
      <w:r w:rsidRPr="0002337F">
        <w:rPr>
          <w:b/>
        </w:rPr>
        <w:t>Выводы по результатам экспертно-аналитического мероприятия.</w:t>
      </w:r>
    </w:p>
    <w:p w:rsidR="00F22804" w:rsidRPr="00F275A2" w:rsidRDefault="00097077" w:rsidP="00F22804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F275A2">
        <w:t xml:space="preserve">Проект </w:t>
      </w:r>
      <w:r w:rsidR="00F22804" w:rsidRPr="00F275A2">
        <w:t>П</w:t>
      </w:r>
      <w:r w:rsidR="00E161C3" w:rsidRPr="00F275A2">
        <w:t>рог</w:t>
      </w:r>
      <w:r w:rsidRPr="00F275A2">
        <w:t>раммы</w:t>
      </w:r>
      <w:r w:rsidR="00E161C3" w:rsidRPr="00F275A2">
        <w:t xml:space="preserve"> </w:t>
      </w:r>
      <w:r w:rsidR="00AC6096" w:rsidRPr="00F275A2">
        <w:t xml:space="preserve">в целом </w:t>
      </w:r>
      <w:r w:rsidR="00F22804" w:rsidRPr="00F275A2">
        <w:rPr>
          <w:rStyle w:val="FontStyle11"/>
          <w:b w:val="0"/>
          <w:sz w:val="24"/>
          <w:szCs w:val="24"/>
        </w:rPr>
        <w:t>соответствует</w:t>
      </w:r>
      <w:r w:rsidR="00F22804" w:rsidRPr="00F275A2">
        <w:rPr>
          <w:rStyle w:val="FontStyle11"/>
          <w:b w:val="0"/>
          <w:bCs w:val="0"/>
          <w:sz w:val="24"/>
          <w:szCs w:val="24"/>
        </w:rPr>
        <w:t xml:space="preserve"> действующим нормативным правовым актам Российской Федерации, субъекта Российской Федерации и муниципального образования</w:t>
      </w:r>
      <w:r w:rsidR="00AC6096" w:rsidRPr="00F275A2">
        <w:rPr>
          <w:rStyle w:val="FontStyle11"/>
          <w:b w:val="0"/>
          <w:bCs w:val="0"/>
          <w:sz w:val="24"/>
          <w:szCs w:val="24"/>
        </w:rPr>
        <w:t xml:space="preserve"> и Порядку разработки, реализации и оценки эффективности муниципальных программ, утвержденному постановлением администрации м.о. Кандалакшский район от 21.10.2013 № 2209</w:t>
      </w:r>
      <w:r w:rsidR="00F22804" w:rsidRPr="00F275A2">
        <w:rPr>
          <w:rStyle w:val="FontStyle11"/>
          <w:b w:val="0"/>
          <w:bCs w:val="0"/>
          <w:sz w:val="24"/>
          <w:szCs w:val="24"/>
        </w:rPr>
        <w:t>.</w:t>
      </w:r>
    </w:p>
    <w:p w:rsidR="00403FE9" w:rsidRPr="005B2551" w:rsidRDefault="00403FE9" w:rsidP="00403FE9">
      <w:pPr>
        <w:ind w:firstLine="709"/>
        <w:jc w:val="both"/>
        <w:rPr>
          <w:color w:val="FF0000"/>
        </w:rPr>
      </w:pPr>
      <w:r w:rsidRPr="00D031D4">
        <w:lastRenderedPageBreak/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</w:t>
      </w:r>
      <w:proofErr w:type="spellStart"/>
      <w:r w:rsidRPr="00D031D4">
        <w:t>м.о</w:t>
      </w:r>
      <w:proofErr w:type="spellEnd"/>
      <w:r w:rsidRPr="00D031D4">
        <w:t xml:space="preserve">. Кандалакшский район от 30.10.2019 № 1351, цель, определенная проектом Программы, а также проблемы, пути их решения, не </w:t>
      </w:r>
      <w:r>
        <w:t>отражены</w:t>
      </w:r>
      <w:r w:rsidRPr="00D031D4">
        <w:t>.</w:t>
      </w:r>
      <w:r w:rsidRPr="008A0A0D">
        <w:t xml:space="preserve"> </w:t>
      </w:r>
    </w:p>
    <w:p w:rsidR="00403FE9" w:rsidRPr="00627543" w:rsidRDefault="00403FE9" w:rsidP="00403FE9">
      <w:pPr>
        <w:ind w:firstLine="709"/>
        <w:jc w:val="both"/>
      </w:pPr>
      <w:r>
        <w:t>Ц</w:t>
      </w:r>
      <w:r w:rsidRPr="002D18A7">
        <w:t xml:space="preserve">ель проекта Программы </w:t>
      </w:r>
      <w:r w:rsidRPr="00627543">
        <w:t xml:space="preserve">«оказание мер социальной поддержки отдельным категориям граждан» не соответствует целям развития Кандалакшского района, установленным </w:t>
      </w:r>
      <w:r w:rsidRPr="00627543">
        <w:t xml:space="preserve">в </w:t>
      </w:r>
      <w:r w:rsidRPr="00627543">
        <w:t>Стратеги</w:t>
      </w:r>
      <w:r w:rsidRPr="00627543">
        <w:t>и</w:t>
      </w:r>
      <w:r w:rsidRPr="00627543">
        <w:t xml:space="preserve"> социально-экономического развития муниципального образования Кандалакшский район на период до 2025 года</w:t>
      </w:r>
      <w:r w:rsidRPr="00627543">
        <w:t xml:space="preserve"> </w:t>
      </w:r>
      <w:r w:rsidRPr="00627543">
        <w:t xml:space="preserve">– устойчивое социально-экономическое развитие, сопровождающиеся поступательным повышением качества жизни населения. </w:t>
      </w:r>
    </w:p>
    <w:p w:rsidR="00D44891" w:rsidRPr="00E440B6" w:rsidRDefault="000C00B4" w:rsidP="009C111C">
      <w:pPr>
        <w:ind w:firstLine="709"/>
        <w:jc w:val="both"/>
        <w:rPr>
          <w:color w:val="FF0000"/>
        </w:rPr>
      </w:pPr>
      <w:r>
        <w:t>Х</w:t>
      </w:r>
      <w:r w:rsidR="00C454B5" w:rsidRPr="00C454B5">
        <w:t xml:space="preserve">арактеристика проблемы </w:t>
      </w:r>
      <w:r w:rsidR="00C454B5">
        <w:t>в Проекте Программы не отражена</w:t>
      </w:r>
      <w:r w:rsidR="00CA106C">
        <w:t>.</w:t>
      </w:r>
      <w:r w:rsidR="00C454B5">
        <w:t xml:space="preserve"> </w:t>
      </w:r>
    </w:p>
    <w:p w:rsidR="009C111C" w:rsidRPr="009C111C" w:rsidRDefault="009C111C" w:rsidP="009C111C">
      <w:pPr>
        <w:ind w:firstLine="709"/>
        <w:jc w:val="both"/>
      </w:pPr>
      <w:r w:rsidRPr="009C111C">
        <w:t>Измеряемые (натуральные и относительные) показатели в проекте Программы не позволяют в полной мере оценить степень достижения цели и выполнения задач.</w:t>
      </w:r>
    </w:p>
    <w:p w:rsidR="008C2C9A" w:rsidRDefault="008C2C9A" w:rsidP="008C2C9A">
      <w:pPr>
        <w:ind w:firstLine="709"/>
        <w:jc w:val="both"/>
      </w:pPr>
      <w:r w:rsidRPr="008C2C9A">
        <w:t xml:space="preserve">По всем предлагаемым показателям в проекте Программы отсутствуют сведения об источниках информации и методике расчета значений, а </w:t>
      </w:r>
      <w:r>
        <w:t>также расчеты, подтверждающие потребность в бюджетных средствах</w:t>
      </w:r>
      <w:r w:rsidRPr="008C2C9A">
        <w:t xml:space="preserve"> в заявленных объ</w:t>
      </w:r>
      <w:r>
        <w:t xml:space="preserve">емах на финансовое обеспечение </w:t>
      </w:r>
      <w:r w:rsidRPr="008C2C9A">
        <w:t>мероприятий.</w:t>
      </w:r>
    </w:p>
    <w:p w:rsidR="009C111C" w:rsidRPr="00F275A2" w:rsidRDefault="009C111C" w:rsidP="009C111C">
      <w:pPr>
        <w:ind w:firstLine="709"/>
        <w:jc w:val="both"/>
      </w:pPr>
      <w:r w:rsidRPr="00F275A2">
        <w:t>Механизм реализации программы предусм</w:t>
      </w:r>
      <w:r>
        <w:t>атривает выполнение мероприятий</w:t>
      </w:r>
      <w:r w:rsidRPr="00F275A2">
        <w:t xml:space="preserve"> путем </w:t>
      </w:r>
      <w:r>
        <w:t xml:space="preserve">исполнения принимаемых расходных обязательств в соответствии с нормативными документами в сфере </w:t>
      </w:r>
      <w:r w:rsidRPr="00882D55">
        <w:t>социальной защиты населения</w:t>
      </w:r>
      <w:r>
        <w:t>.</w:t>
      </w:r>
    </w:p>
    <w:p w:rsidR="009C111C" w:rsidRPr="00F275A2" w:rsidRDefault="009C111C" w:rsidP="009C111C">
      <w:pPr>
        <w:ind w:firstLine="709"/>
      </w:pPr>
      <w:r w:rsidRPr="00F275A2">
        <w:t>Требования к ст</w:t>
      </w:r>
      <w:r>
        <w:t>руктуре муниципальной программы</w:t>
      </w:r>
      <w:r w:rsidRPr="00F275A2">
        <w:t xml:space="preserve"> соблюдены.</w:t>
      </w:r>
    </w:p>
    <w:p w:rsidR="009C111C" w:rsidRPr="00627543" w:rsidRDefault="009C111C" w:rsidP="009C111C">
      <w:pPr>
        <w:autoSpaceDE w:val="0"/>
        <w:autoSpaceDN w:val="0"/>
        <w:adjustRightInd w:val="0"/>
        <w:ind w:firstLine="708"/>
        <w:jc w:val="both"/>
      </w:pPr>
      <w:r w:rsidRPr="00627543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E161C3" w:rsidRDefault="00E161C3" w:rsidP="00882D55">
      <w:pPr>
        <w:ind w:firstLine="709"/>
        <w:rPr>
          <w:color w:val="FF0000"/>
        </w:rPr>
      </w:pPr>
    </w:p>
    <w:p w:rsidR="0080490D" w:rsidRPr="00667C72" w:rsidRDefault="0080490D" w:rsidP="0080490D">
      <w:pPr>
        <w:ind w:firstLine="709"/>
        <w:jc w:val="both"/>
      </w:pPr>
      <w:r w:rsidRPr="00667C72">
        <w:t>По итогам экспертизы проекта Программы, Контрольно-счетный орган предлагает</w:t>
      </w:r>
      <w:r w:rsidR="00627543">
        <w:t xml:space="preserve"> разработчику программы</w:t>
      </w:r>
      <w:r w:rsidRPr="00667C72">
        <w:t>:</w:t>
      </w:r>
    </w:p>
    <w:p w:rsidR="0080490D" w:rsidRPr="0080490D" w:rsidRDefault="0080490D" w:rsidP="0080490D">
      <w:pPr>
        <w:ind w:firstLine="709"/>
        <w:jc w:val="both"/>
        <w:rPr>
          <w:color w:val="00B0F0"/>
        </w:rPr>
      </w:pPr>
    </w:p>
    <w:p w:rsidR="00403FE9" w:rsidRDefault="00403FE9" w:rsidP="0080490D">
      <w:pPr>
        <w:pStyle w:val="21"/>
        <w:numPr>
          <w:ilvl w:val="0"/>
          <w:numId w:val="19"/>
        </w:numPr>
        <w:ind w:left="0" w:firstLine="426"/>
        <w:jc w:val="both"/>
      </w:pPr>
      <w:r>
        <w:t>Уточнить цель и задачи программы в соответствии со</w:t>
      </w:r>
      <w:r w:rsidRPr="00403FE9">
        <w:t xml:space="preserve"> </w:t>
      </w:r>
      <w:r w:rsidRPr="006259A4">
        <w:t>Стратегией социально-экономического развития муниципального образования</w:t>
      </w:r>
      <w:r>
        <w:t>;</w:t>
      </w:r>
    </w:p>
    <w:p w:rsidR="0080490D" w:rsidRPr="003945BA" w:rsidRDefault="009C111C" w:rsidP="0080490D">
      <w:pPr>
        <w:pStyle w:val="21"/>
        <w:numPr>
          <w:ilvl w:val="0"/>
          <w:numId w:val="19"/>
        </w:numPr>
        <w:ind w:left="0" w:firstLine="426"/>
        <w:jc w:val="both"/>
      </w:pPr>
      <w:r w:rsidRPr="003945BA">
        <w:t>П</w:t>
      </w:r>
      <w:r w:rsidR="0080490D" w:rsidRPr="003945BA">
        <w:t xml:space="preserve">ересмотреть, целевые показатели (индикаторы) </w:t>
      </w:r>
      <w:r w:rsidR="003945BA" w:rsidRPr="003945BA">
        <w:t>задачи 5 и 7</w:t>
      </w:r>
      <w:r w:rsidR="0080490D" w:rsidRPr="003945BA">
        <w:t>, которые позволят оценить степень достижения цели и выполнения задач муниципальной программы;</w:t>
      </w:r>
    </w:p>
    <w:p w:rsidR="0080490D" w:rsidRPr="003945BA" w:rsidRDefault="003945BA" w:rsidP="0080490D">
      <w:pPr>
        <w:pStyle w:val="21"/>
        <w:numPr>
          <w:ilvl w:val="0"/>
          <w:numId w:val="19"/>
        </w:numPr>
        <w:ind w:left="0" w:firstLine="426"/>
        <w:jc w:val="both"/>
      </w:pPr>
      <w:r w:rsidRPr="003945BA">
        <w:t xml:space="preserve">В задаче 9 уточнить </w:t>
      </w:r>
      <w:r w:rsidR="0080490D" w:rsidRPr="003945BA">
        <w:t xml:space="preserve">целевой показатель (индикаторы) </w:t>
      </w:r>
      <w:r w:rsidRPr="003945BA">
        <w:t>«</w:t>
      </w:r>
      <w:r w:rsidRPr="003945BA">
        <w:rPr>
          <w:rFonts w:eastAsia="Times New Roman"/>
        </w:rPr>
        <w:t>Количество граждан, на погребение которых произведены компенсационные выплаты</w:t>
      </w:r>
      <w:r w:rsidRPr="003945BA">
        <w:t>»</w:t>
      </w:r>
      <w:r>
        <w:t xml:space="preserve"> исходя из установленной стоимости услуг;</w:t>
      </w:r>
    </w:p>
    <w:p w:rsidR="003945BA" w:rsidRPr="003945BA" w:rsidRDefault="00627543" w:rsidP="003945BA">
      <w:pPr>
        <w:pStyle w:val="21"/>
        <w:numPr>
          <w:ilvl w:val="0"/>
          <w:numId w:val="19"/>
        </w:numPr>
        <w:ind w:left="0" w:firstLine="426"/>
        <w:jc w:val="both"/>
      </w:pPr>
      <w:r>
        <w:t>В</w:t>
      </w:r>
      <w:r w:rsidR="0080490D" w:rsidRPr="003945BA">
        <w:t xml:space="preserve"> содержательной части муниципальной программы</w:t>
      </w:r>
      <w:r w:rsidR="003945BA" w:rsidRPr="003945BA">
        <w:t>:</w:t>
      </w:r>
    </w:p>
    <w:p w:rsidR="003945BA" w:rsidRDefault="00F64AAC" w:rsidP="003945BA">
      <w:pPr>
        <w:pStyle w:val="21"/>
        <w:numPr>
          <w:ilvl w:val="0"/>
          <w:numId w:val="20"/>
        </w:numPr>
        <w:ind w:left="0" w:firstLine="426"/>
        <w:jc w:val="both"/>
      </w:pPr>
      <w:r w:rsidRPr="003945BA">
        <w:t xml:space="preserve">сформировать </w:t>
      </w:r>
      <w:r w:rsidR="0080490D" w:rsidRPr="003945BA">
        <w:t>сведения об источниках и методике расчета значений пока</w:t>
      </w:r>
      <w:r w:rsidR="003945BA" w:rsidRPr="003945BA">
        <w:t>зателей муниципальной программы;</w:t>
      </w:r>
    </w:p>
    <w:p w:rsidR="0080490D" w:rsidRPr="003945BA" w:rsidRDefault="003945BA" w:rsidP="006F4FA1">
      <w:pPr>
        <w:pStyle w:val="21"/>
        <w:numPr>
          <w:ilvl w:val="0"/>
          <w:numId w:val="20"/>
        </w:numPr>
        <w:ind w:left="0" w:firstLine="426"/>
        <w:jc w:val="both"/>
      </w:pPr>
      <w:r w:rsidRPr="003945BA">
        <w:t xml:space="preserve">охарактеризовать проблемы, на решение </w:t>
      </w:r>
      <w:r w:rsidR="00667C72">
        <w:t>к</w:t>
      </w:r>
      <w:r w:rsidRPr="003945BA">
        <w:t>оторой направлена</w:t>
      </w:r>
      <w:r>
        <w:t xml:space="preserve"> </w:t>
      </w:r>
      <w:r w:rsidRPr="003945BA">
        <w:t>муниципальная программа.</w:t>
      </w:r>
    </w:p>
    <w:p w:rsidR="0080490D" w:rsidRPr="0080490D" w:rsidRDefault="0080490D" w:rsidP="0080490D">
      <w:pPr>
        <w:pStyle w:val="21"/>
        <w:ind w:firstLine="426"/>
        <w:jc w:val="both"/>
        <w:rPr>
          <w:color w:val="00B0F0"/>
        </w:rPr>
      </w:pPr>
    </w:p>
    <w:p w:rsidR="0080490D" w:rsidRPr="00BD209F" w:rsidRDefault="0080490D" w:rsidP="0080490D">
      <w:pPr>
        <w:ind w:firstLine="709"/>
        <w:jc w:val="both"/>
      </w:pPr>
    </w:p>
    <w:p w:rsidR="004B43D5" w:rsidRPr="00F275A2" w:rsidRDefault="004B43D5" w:rsidP="00BF72F3">
      <w:pPr>
        <w:jc w:val="both"/>
        <w:rPr>
          <w:highlight w:val="cyan"/>
        </w:rPr>
      </w:pPr>
    </w:p>
    <w:p w:rsidR="00BA3508" w:rsidRPr="00C454B5" w:rsidRDefault="00BD209F" w:rsidP="00627543">
      <w:pPr>
        <w:ind w:firstLine="426"/>
        <w:jc w:val="both"/>
        <w:rPr>
          <w:b/>
          <w:color w:val="FF0000"/>
        </w:rPr>
      </w:pPr>
      <w:r w:rsidRPr="005B2551">
        <w:rPr>
          <w:color w:val="FF0000"/>
        </w:rPr>
        <w:t xml:space="preserve"> </w:t>
      </w:r>
      <w:r w:rsidR="00627543">
        <w:t>Председатель</w:t>
      </w:r>
      <w:r w:rsidR="00831A87" w:rsidRPr="005B2551">
        <w:t xml:space="preserve">      </w:t>
      </w:r>
      <w:r w:rsidR="00627543">
        <w:t xml:space="preserve">                                                                         Н.А. Милевская</w:t>
      </w:r>
    </w:p>
    <w:sectPr w:rsidR="00BA3508" w:rsidRPr="00C454B5" w:rsidSect="006829EC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02" w:rsidRDefault="00B46A02" w:rsidP="006E0D5A">
      <w:r>
        <w:separator/>
      </w:r>
    </w:p>
  </w:endnote>
  <w:endnote w:type="continuationSeparator" w:id="0">
    <w:p w:rsidR="00B46A02" w:rsidRDefault="00B46A02" w:rsidP="006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78491"/>
      <w:docPartObj>
        <w:docPartGallery w:val="Page Numbers (Bottom of Page)"/>
        <w:docPartUnique/>
      </w:docPartObj>
    </w:sdtPr>
    <w:sdtEndPr/>
    <w:sdtContent>
      <w:p w:rsidR="00B46A02" w:rsidRDefault="00B46A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63">
          <w:rPr>
            <w:noProof/>
          </w:rPr>
          <w:t>8</w:t>
        </w:r>
        <w:r>
          <w:fldChar w:fldCharType="end"/>
        </w:r>
      </w:p>
    </w:sdtContent>
  </w:sdt>
  <w:p w:rsidR="00B46A02" w:rsidRDefault="00B46A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02" w:rsidRDefault="00B46A02" w:rsidP="006E0D5A">
      <w:r>
        <w:separator/>
      </w:r>
    </w:p>
  </w:footnote>
  <w:footnote w:type="continuationSeparator" w:id="0">
    <w:p w:rsidR="00B46A02" w:rsidRDefault="00B46A02" w:rsidP="006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42A3C"/>
    <w:multiLevelType w:val="hybridMultilevel"/>
    <w:tmpl w:val="D1568C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03FBD"/>
    <w:multiLevelType w:val="hybridMultilevel"/>
    <w:tmpl w:val="F55ED452"/>
    <w:lvl w:ilvl="0" w:tplc="4CD873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687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961178"/>
    <w:multiLevelType w:val="hybridMultilevel"/>
    <w:tmpl w:val="9AB69E74"/>
    <w:lvl w:ilvl="0" w:tplc="3832233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BF30F1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93FAD"/>
    <w:multiLevelType w:val="hybridMultilevel"/>
    <w:tmpl w:val="0C4408B0"/>
    <w:lvl w:ilvl="0" w:tplc="FDD45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26A55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64D2D"/>
    <w:multiLevelType w:val="hybridMultilevel"/>
    <w:tmpl w:val="FE10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1502C"/>
    <w:multiLevelType w:val="hybridMultilevel"/>
    <w:tmpl w:val="FF260F7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5266"/>
    <w:multiLevelType w:val="hybridMultilevel"/>
    <w:tmpl w:val="6DC0FB04"/>
    <w:lvl w:ilvl="0" w:tplc="2B12C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EE21AD"/>
    <w:multiLevelType w:val="hybridMultilevel"/>
    <w:tmpl w:val="1EC259B6"/>
    <w:lvl w:ilvl="0" w:tplc="2F2AEDEA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47874D71"/>
    <w:multiLevelType w:val="hybridMultilevel"/>
    <w:tmpl w:val="83DE44C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C4609"/>
    <w:multiLevelType w:val="hybridMultilevel"/>
    <w:tmpl w:val="F69C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A133DA"/>
    <w:multiLevelType w:val="hybridMultilevel"/>
    <w:tmpl w:val="EB5E19CC"/>
    <w:lvl w:ilvl="0" w:tplc="4CD873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C3B7D"/>
    <w:multiLevelType w:val="hybridMultilevel"/>
    <w:tmpl w:val="F146A5CA"/>
    <w:lvl w:ilvl="0" w:tplc="38322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EE974B2"/>
    <w:multiLevelType w:val="hybridMultilevel"/>
    <w:tmpl w:val="42762E3C"/>
    <w:lvl w:ilvl="0" w:tplc="3832233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7"/>
  </w:num>
  <w:num w:numId="15">
    <w:abstractNumId w:val="1"/>
  </w:num>
  <w:num w:numId="16">
    <w:abstractNumId w:val="14"/>
  </w:num>
  <w:num w:numId="17">
    <w:abstractNumId w:val="2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2337F"/>
    <w:rsid w:val="00024A4E"/>
    <w:rsid w:val="00041190"/>
    <w:rsid w:val="0005716D"/>
    <w:rsid w:val="00062200"/>
    <w:rsid w:val="0007704F"/>
    <w:rsid w:val="000776E8"/>
    <w:rsid w:val="000846AD"/>
    <w:rsid w:val="00097077"/>
    <w:rsid w:val="000979F8"/>
    <w:rsid w:val="000A5F41"/>
    <w:rsid w:val="000B1A83"/>
    <w:rsid w:val="000C00B4"/>
    <w:rsid w:val="000C2E62"/>
    <w:rsid w:val="000C4AA4"/>
    <w:rsid w:val="000D1C11"/>
    <w:rsid w:val="000D5CB1"/>
    <w:rsid w:val="000F0873"/>
    <w:rsid w:val="000F3C30"/>
    <w:rsid w:val="000F4C5A"/>
    <w:rsid w:val="0010027A"/>
    <w:rsid w:val="00116DB9"/>
    <w:rsid w:val="001214C2"/>
    <w:rsid w:val="00141571"/>
    <w:rsid w:val="001544E5"/>
    <w:rsid w:val="001677FE"/>
    <w:rsid w:val="001779A3"/>
    <w:rsid w:val="001A0737"/>
    <w:rsid w:val="001A6356"/>
    <w:rsid w:val="001A7A01"/>
    <w:rsid w:val="001C0B02"/>
    <w:rsid w:val="001D2688"/>
    <w:rsid w:val="001E086C"/>
    <w:rsid w:val="001E7ADB"/>
    <w:rsid w:val="001F37DE"/>
    <w:rsid w:val="002077E9"/>
    <w:rsid w:val="0021044F"/>
    <w:rsid w:val="00211CB2"/>
    <w:rsid w:val="00213539"/>
    <w:rsid w:val="00217089"/>
    <w:rsid w:val="002172C3"/>
    <w:rsid w:val="00231B4F"/>
    <w:rsid w:val="00236E31"/>
    <w:rsid w:val="0024183E"/>
    <w:rsid w:val="0024558B"/>
    <w:rsid w:val="00261E73"/>
    <w:rsid w:val="00272F68"/>
    <w:rsid w:val="0029359E"/>
    <w:rsid w:val="00296F93"/>
    <w:rsid w:val="00297800"/>
    <w:rsid w:val="002A192B"/>
    <w:rsid w:val="002A32BF"/>
    <w:rsid w:val="002A3483"/>
    <w:rsid w:val="002B590E"/>
    <w:rsid w:val="002B73D9"/>
    <w:rsid w:val="002C1A52"/>
    <w:rsid w:val="002C7D60"/>
    <w:rsid w:val="002D18A7"/>
    <w:rsid w:val="002D1939"/>
    <w:rsid w:val="002D70C7"/>
    <w:rsid w:val="00306BB6"/>
    <w:rsid w:val="00306FA6"/>
    <w:rsid w:val="00314897"/>
    <w:rsid w:val="00336F74"/>
    <w:rsid w:val="0034345E"/>
    <w:rsid w:val="003450D7"/>
    <w:rsid w:val="003533FE"/>
    <w:rsid w:val="00355188"/>
    <w:rsid w:val="00365CB4"/>
    <w:rsid w:val="00366D3E"/>
    <w:rsid w:val="00367233"/>
    <w:rsid w:val="00367CE0"/>
    <w:rsid w:val="0037069D"/>
    <w:rsid w:val="00383777"/>
    <w:rsid w:val="003945BA"/>
    <w:rsid w:val="00397B9C"/>
    <w:rsid w:val="003B6D19"/>
    <w:rsid w:val="003C0EFF"/>
    <w:rsid w:val="003C2E57"/>
    <w:rsid w:val="003E2E85"/>
    <w:rsid w:val="003E439D"/>
    <w:rsid w:val="00403FE9"/>
    <w:rsid w:val="004169F7"/>
    <w:rsid w:val="00426F47"/>
    <w:rsid w:val="0043068B"/>
    <w:rsid w:val="00436B54"/>
    <w:rsid w:val="00441297"/>
    <w:rsid w:val="00444221"/>
    <w:rsid w:val="004643EE"/>
    <w:rsid w:val="00473E8A"/>
    <w:rsid w:val="00480A88"/>
    <w:rsid w:val="00481B82"/>
    <w:rsid w:val="00482641"/>
    <w:rsid w:val="00484EA0"/>
    <w:rsid w:val="00485D17"/>
    <w:rsid w:val="0048674F"/>
    <w:rsid w:val="00490C1B"/>
    <w:rsid w:val="004A5029"/>
    <w:rsid w:val="004A6B20"/>
    <w:rsid w:val="004B3101"/>
    <w:rsid w:val="004B43D5"/>
    <w:rsid w:val="004B760F"/>
    <w:rsid w:val="004E1ABA"/>
    <w:rsid w:val="004E3297"/>
    <w:rsid w:val="004E3563"/>
    <w:rsid w:val="004F2EA0"/>
    <w:rsid w:val="004F5260"/>
    <w:rsid w:val="00520F2B"/>
    <w:rsid w:val="0052768B"/>
    <w:rsid w:val="0053089E"/>
    <w:rsid w:val="005326CD"/>
    <w:rsid w:val="00534490"/>
    <w:rsid w:val="00543498"/>
    <w:rsid w:val="00555A3E"/>
    <w:rsid w:val="005608E9"/>
    <w:rsid w:val="0056544F"/>
    <w:rsid w:val="005B2551"/>
    <w:rsid w:val="005B6E34"/>
    <w:rsid w:val="005C7EDB"/>
    <w:rsid w:val="005D2B5F"/>
    <w:rsid w:val="005E1549"/>
    <w:rsid w:val="005F4EA4"/>
    <w:rsid w:val="005F579B"/>
    <w:rsid w:val="00601D5A"/>
    <w:rsid w:val="00602476"/>
    <w:rsid w:val="00604401"/>
    <w:rsid w:val="00612C8B"/>
    <w:rsid w:val="006259A4"/>
    <w:rsid w:val="006270B4"/>
    <w:rsid w:val="00627543"/>
    <w:rsid w:val="006416F9"/>
    <w:rsid w:val="00647459"/>
    <w:rsid w:val="0065183E"/>
    <w:rsid w:val="0065330E"/>
    <w:rsid w:val="00667C72"/>
    <w:rsid w:val="006829EC"/>
    <w:rsid w:val="006A7CBB"/>
    <w:rsid w:val="006B5DFD"/>
    <w:rsid w:val="006E0BC7"/>
    <w:rsid w:val="006E0D5A"/>
    <w:rsid w:val="006E1E6D"/>
    <w:rsid w:val="006F0084"/>
    <w:rsid w:val="00710F4F"/>
    <w:rsid w:val="00711ADF"/>
    <w:rsid w:val="00716BEA"/>
    <w:rsid w:val="00716D19"/>
    <w:rsid w:val="00720B7B"/>
    <w:rsid w:val="00724BCE"/>
    <w:rsid w:val="00730EDD"/>
    <w:rsid w:val="007317CF"/>
    <w:rsid w:val="0073456E"/>
    <w:rsid w:val="007346C1"/>
    <w:rsid w:val="007374BA"/>
    <w:rsid w:val="00741164"/>
    <w:rsid w:val="00743FCA"/>
    <w:rsid w:val="007476EB"/>
    <w:rsid w:val="00757BAF"/>
    <w:rsid w:val="0076604C"/>
    <w:rsid w:val="007779B2"/>
    <w:rsid w:val="007908B9"/>
    <w:rsid w:val="00794143"/>
    <w:rsid w:val="007A504F"/>
    <w:rsid w:val="007B52AB"/>
    <w:rsid w:val="007C0B7B"/>
    <w:rsid w:val="007C162D"/>
    <w:rsid w:val="007D22A7"/>
    <w:rsid w:val="007D2D8A"/>
    <w:rsid w:val="007E08AB"/>
    <w:rsid w:val="007E77A5"/>
    <w:rsid w:val="0080490D"/>
    <w:rsid w:val="008146A9"/>
    <w:rsid w:val="00831786"/>
    <w:rsid w:val="00831A87"/>
    <w:rsid w:val="0083360C"/>
    <w:rsid w:val="00833B5B"/>
    <w:rsid w:val="00834FC0"/>
    <w:rsid w:val="008568FC"/>
    <w:rsid w:val="00857F4D"/>
    <w:rsid w:val="00862249"/>
    <w:rsid w:val="00882D55"/>
    <w:rsid w:val="00884EDE"/>
    <w:rsid w:val="00885E0D"/>
    <w:rsid w:val="00887670"/>
    <w:rsid w:val="008A0A0D"/>
    <w:rsid w:val="008B3E81"/>
    <w:rsid w:val="008C2C9A"/>
    <w:rsid w:val="008D152D"/>
    <w:rsid w:val="008F430D"/>
    <w:rsid w:val="00904C9E"/>
    <w:rsid w:val="00910578"/>
    <w:rsid w:val="00916D86"/>
    <w:rsid w:val="00934A17"/>
    <w:rsid w:val="00950B35"/>
    <w:rsid w:val="00954EFF"/>
    <w:rsid w:val="009612E4"/>
    <w:rsid w:val="009675B4"/>
    <w:rsid w:val="009700E1"/>
    <w:rsid w:val="009740FC"/>
    <w:rsid w:val="0097563C"/>
    <w:rsid w:val="00986DAF"/>
    <w:rsid w:val="00993585"/>
    <w:rsid w:val="00996B94"/>
    <w:rsid w:val="009B03F2"/>
    <w:rsid w:val="009B19DD"/>
    <w:rsid w:val="009B6189"/>
    <w:rsid w:val="009C007F"/>
    <w:rsid w:val="009C06A8"/>
    <w:rsid w:val="009C111C"/>
    <w:rsid w:val="009C65C5"/>
    <w:rsid w:val="009D629B"/>
    <w:rsid w:val="009E3B8F"/>
    <w:rsid w:val="009F5C81"/>
    <w:rsid w:val="00A05729"/>
    <w:rsid w:val="00A10F5D"/>
    <w:rsid w:val="00A12D5C"/>
    <w:rsid w:val="00A26F2E"/>
    <w:rsid w:val="00A31F7B"/>
    <w:rsid w:val="00A35A0D"/>
    <w:rsid w:val="00A37377"/>
    <w:rsid w:val="00A37C43"/>
    <w:rsid w:val="00A41663"/>
    <w:rsid w:val="00A42907"/>
    <w:rsid w:val="00A45D23"/>
    <w:rsid w:val="00A504B6"/>
    <w:rsid w:val="00A545EC"/>
    <w:rsid w:val="00A566B7"/>
    <w:rsid w:val="00A64973"/>
    <w:rsid w:val="00A65238"/>
    <w:rsid w:val="00A93647"/>
    <w:rsid w:val="00A9640B"/>
    <w:rsid w:val="00AA10F7"/>
    <w:rsid w:val="00AA2282"/>
    <w:rsid w:val="00AB099B"/>
    <w:rsid w:val="00AB17A9"/>
    <w:rsid w:val="00AB47A5"/>
    <w:rsid w:val="00AC4CA7"/>
    <w:rsid w:val="00AC4CD3"/>
    <w:rsid w:val="00AC54FF"/>
    <w:rsid w:val="00AC6096"/>
    <w:rsid w:val="00AC7185"/>
    <w:rsid w:val="00AC73D0"/>
    <w:rsid w:val="00AD7C4C"/>
    <w:rsid w:val="00AE3EC6"/>
    <w:rsid w:val="00AF1897"/>
    <w:rsid w:val="00AF1A91"/>
    <w:rsid w:val="00B02826"/>
    <w:rsid w:val="00B02964"/>
    <w:rsid w:val="00B11C98"/>
    <w:rsid w:val="00B21A55"/>
    <w:rsid w:val="00B35FF1"/>
    <w:rsid w:val="00B4068C"/>
    <w:rsid w:val="00B436EB"/>
    <w:rsid w:val="00B46A02"/>
    <w:rsid w:val="00B47266"/>
    <w:rsid w:val="00B52BF9"/>
    <w:rsid w:val="00B54F54"/>
    <w:rsid w:val="00B6271A"/>
    <w:rsid w:val="00B6704D"/>
    <w:rsid w:val="00B67265"/>
    <w:rsid w:val="00B82BF1"/>
    <w:rsid w:val="00B8698E"/>
    <w:rsid w:val="00B91825"/>
    <w:rsid w:val="00B91A47"/>
    <w:rsid w:val="00B95687"/>
    <w:rsid w:val="00B97BBF"/>
    <w:rsid w:val="00BA3508"/>
    <w:rsid w:val="00BA3D1D"/>
    <w:rsid w:val="00BA77F9"/>
    <w:rsid w:val="00BB2FE3"/>
    <w:rsid w:val="00BB43FF"/>
    <w:rsid w:val="00BC0D8D"/>
    <w:rsid w:val="00BC366F"/>
    <w:rsid w:val="00BD209F"/>
    <w:rsid w:val="00BD5932"/>
    <w:rsid w:val="00BE0DF8"/>
    <w:rsid w:val="00BE59AC"/>
    <w:rsid w:val="00BF1714"/>
    <w:rsid w:val="00BF29DC"/>
    <w:rsid w:val="00BF2EE4"/>
    <w:rsid w:val="00BF330E"/>
    <w:rsid w:val="00BF72F3"/>
    <w:rsid w:val="00C038F5"/>
    <w:rsid w:val="00C22C5F"/>
    <w:rsid w:val="00C254D5"/>
    <w:rsid w:val="00C34253"/>
    <w:rsid w:val="00C36828"/>
    <w:rsid w:val="00C40235"/>
    <w:rsid w:val="00C4074E"/>
    <w:rsid w:val="00C454B5"/>
    <w:rsid w:val="00C54560"/>
    <w:rsid w:val="00C56DE2"/>
    <w:rsid w:val="00C617E5"/>
    <w:rsid w:val="00C62C3D"/>
    <w:rsid w:val="00C74F70"/>
    <w:rsid w:val="00C7599F"/>
    <w:rsid w:val="00C8244F"/>
    <w:rsid w:val="00CA106C"/>
    <w:rsid w:val="00CA68B4"/>
    <w:rsid w:val="00CC027D"/>
    <w:rsid w:val="00CC26CE"/>
    <w:rsid w:val="00CD08E1"/>
    <w:rsid w:val="00CD3467"/>
    <w:rsid w:val="00D031D4"/>
    <w:rsid w:val="00D04621"/>
    <w:rsid w:val="00D1039F"/>
    <w:rsid w:val="00D20879"/>
    <w:rsid w:val="00D32459"/>
    <w:rsid w:val="00D3512F"/>
    <w:rsid w:val="00D414B7"/>
    <w:rsid w:val="00D44891"/>
    <w:rsid w:val="00D474E0"/>
    <w:rsid w:val="00D64739"/>
    <w:rsid w:val="00D90576"/>
    <w:rsid w:val="00DA0359"/>
    <w:rsid w:val="00DB0C12"/>
    <w:rsid w:val="00DB76DC"/>
    <w:rsid w:val="00DC0F40"/>
    <w:rsid w:val="00DC361A"/>
    <w:rsid w:val="00DE4D06"/>
    <w:rsid w:val="00DE509E"/>
    <w:rsid w:val="00E027DD"/>
    <w:rsid w:val="00E13294"/>
    <w:rsid w:val="00E161C3"/>
    <w:rsid w:val="00E222F3"/>
    <w:rsid w:val="00E26131"/>
    <w:rsid w:val="00E35F16"/>
    <w:rsid w:val="00E42B7B"/>
    <w:rsid w:val="00E431D5"/>
    <w:rsid w:val="00E440B6"/>
    <w:rsid w:val="00E52AFF"/>
    <w:rsid w:val="00E53E0E"/>
    <w:rsid w:val="00E5787D"/>
    <w:rsid w:val="00E64613"/>
    <w:rsid w:val="00E67A40"/>
    <w:rsid w:val="00E869F5"/>
    <w:rsid w:val="00E943DC"/>
    <w:rsid w:val="00EA227F"/>
    <w:rsid w:val="00EA54E6"/>
    <w:rsid w:val="00EA6A94"/>
    <w:rsid w:val="00EB784E"/>
    <w:rsid w:val="00EC6704"/>
    <w:rsid w:val="00ED078D"/>
    <w:rsid w:val="00EE04A6"/>
    <w:rsid w:val="00EF0905"/>
    <w:rsid w:val="00EF4CB3"/>
    <w:rsid w:val="00EF6121"/>
    <w:rsid w:val="00F01CEA"/>
    <w:rsid w:val="00F06764"/>
    <w:rsid w:val="00F071CE"/>
    <w:rsid w:val="00F074E1"/>
    <w:rsid w:val="00F13228"/>
    <w:rsid w:val="00F22804"/>
    <w:rsid w:val="00F23216"/>
    <w:rsid w:val="00F275A2"/>
    <w:rsid w:val="00F31AED"/>
    <w:rsid w:val="00F33050"/>
    <w:rsid w:val="00F348EF"/>
    <w:rsid w:val="00F63F78"/>
    <w:rsid w:val="00F64AAC"/>
    <w:rsid w:val="00F7055D"/>
    <w:rsid w:val="00F73803"/>
    <w:rsid w:val="00F771D8"/>
    <w:rsid w:val="00F8257E"/>
    <w:rsid w:val="00F954A8"/>
    <w:rsid w:val="00FA321B"/>
    <w:rsid w:val="00FA700C"/>
    <w:rsid w:val="00FC2201"/>
    <w:rsid w:val="00FC3266"/>
    <w:rsid w:val="00FD0F88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EDD4D6-6CD0-4F4F-B6C8-229C7ED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48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83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99"/>
    <w:qFormat/>
    <w:rsid w:val="002A3483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A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56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F22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22804"/>
    <w:pPr>
      <w:widowControl w:val="0"/>
      <w:autoSpaceDE w:val="0"/>
      <w:autoSpaceDN w:val="0"/>
      <w:adjustRightInd w:val="0"/>
    </w:pPr>
  </w:style>
  <w:style w:type="paragraph" w:styleId="ab">
    <w:name w:val="footnote text"/>
    <w:basedOn w:val="a"/>
    <w:link w:val="ac"/>
    <w:uiPriority w:val="99"/>
    <w:semiHidden/>
    <w:unhideWhenUsed/>
    <w:rsid w:val="00BA350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A3508"/>
    <w:rPr>
      <w:vertAlign w:val="superscript"/>
    </w:rPr>
  </w:style>
  <w:style w:type="paragraph" w:customStyle="1" w:styleId="ConsPlusCell">
    <w:name w:val="ConsPlusCell"/>
    <w:uiPriority w:val="99"/>
    <w:rsid w:val="00AE3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D2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20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2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2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99"/>
    <w:rsid w:val="00EA227F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99"/>
    <w:locked/>
    <w:rsid w:val="00CA68B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230-5CB3-451F-AE14-F519EE33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Наталья А. Милевская</cp:lastModifiedBy>
  <cp:revision>4</cp:revision>
  <cp:lastPrinted>2020-11-13T10:34:00Z</cp:lastPrinted>
  <dcterms:created xsi:type="dcterms:W3CDTF">2020-11-13T09:58:00Z</dcterms:created>
  <dcterms:modified xsi:type="dcterms:W3CDTF">2020-11-13T10:35:00Z</dcterms:modified>
</cp:coreProperties>
</file>